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隶书"/>
          <w:b/>
          <w:bCs/>
          <w:spacing w:val="-20"/>
          <w:sz w:val="72"/>
          <w:szCs w:val="24"/>
        </w:rPr>
      </w:pPr>
    </w:p>
    <w:p>
      <w:pPr>
        <w:spacing w:line="580" w:lineRule="exact"/>
        <w:jc w:val="center"/>
        <w:rPr>
          <w:rFonts w:eastAsia="隶书"/>
          <w:b/>
          <w:bCs/>
          <w:spacing w:val="-20"/>
          <w:sz w:val="72"/>
          <w:szCs w:val="24"/>
        </w:rPr>
      </w:pPr>
    </w:p>
    <w:p>
      <w:pPr>
        <w:spacing w:line="58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高等学历继续教育</w:t>
      </w:r>
    </w:p>
    <w:p>
      <w:pPr>
        <w:spacing w:line="58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专业增设申请表(非国控专业)</w:t>
      </w:r>
    </w:p>
    <w:p>
      <w:pPr>
        <w:spacing w:line="580" w:lineRule="exact"/>
        <w:rPr>
          <w:szCs w:val="24"/>
        </w:rPr>
      </w:pPr>
    </w:p>
    <w:p>
      <w:pPr>
        <w:spacing w:line="580" w:lineRule="exact"/>
        <w:rPr>
          <w:szCs w:val="24"/>
        </w:rPr>
      </w:pPr>
    </w:p>
    <w:p>
      <w:pPr>
        <w:spacing w:line="580" w:lineRule="exact"/>
        <w:ind w:firstLine="990" w:firstLineChars="275"/>
        <w:rPr>
          <w:rFonts w:hint="default" w:eastAsia="楷体_GB2312"/>
          <w:szCs w:val="24"/>
          <w:lang w:val="en-US" w:eastAsia="zh-CN"/>
        </w:rPr>
      </w:pPr>
      <w:r>
        <w:rPr>
          <w:rFonts w:hint="eastAsia" w:eastAsia="楷体_GB2312"/>
          <w:sz w:val="36"/>
          <w:szCs w:val="24"/>
        </w:rPr>
        <w:t>学校名称（盖章）：</w:t>
      </w:r>
      <w:r>
        <w:rPr>
          <w:rFonts w:hint="eastAsia" w:eastAsia="楷体_GB2312"/>
          <w:sz w:val="36"/>
          <w:szCs w:val="24"/>
          <w:lang w:val="en-US" w:eastAsia="zh-CN"/>
        </w:rPr>
        <w:t>江西开放大学</w:t>
      </w:r>
    </w:p>
    <w:p>
      <w:pPr>
        <w:spacing w:line="580" w:lineRule="exact"/>
        <w:ind w:firstLine="990" w:firstLineChars="275"/>
        <w:rPr>
          <w:rFonts w:eastAsia="楷体_GB2312"/>
          <w:sz w:val="36"/>
          <w:szCs w:val="24"/>
        </w:rPr>
      </w:pPr>
      <w:r>
        <w:rPr>
          <w:rFonts w:hint="eastAsia" w:eastAsia="楷体_GB2312"/>
          <w:sz w:val="36"/>
          <w:szCs w:val="24"/>
        </w:rPr>
        <w:t>学校主管部门：江西省教育厅</w:t>
      </w:r>
    </w:p>
    <w:p>
      <w:pPr>
        <w:spacing w:line="580" w:lineRule="exact"/>
        <w:ind w:firstLine="990" w:firstLineChars="275"/>
        <w:rPr>
          <w:rFonts w:eastAsia="楷体_GB2312"/>
          <w:sz w:val="36"/>
          <w:szCs w:val="24"/>
          <w:u w:val="thick"/>
        </w:rPr>
      </w:pPr>
      <w:r>
        <w:rPr>
          <w:rFonts w:hint="eastAsia" w:eastAsia="楷体_GB2312"/>
          <w:sz w:val="36"/>
          <w:szCs w:val="24"/>
        </w:rPr>
        <w:t>专业名称：</w:t>
      </w:r>
      <w:r>
        <w:rPr>
          <w:rFonts w:hint="eastAsia" w:eastAsia="楷体_GB2312"/>
          <w:sz w:val="36"/>
          <w:szCs w:val="24"/>
          <w:lang w:val="en-US" w:eastAsia="zh-CN"/>
        </w:rPr>
        <w:t>应用化工技术</w:t>
      </w:r>
    </w:p>
    <w:p>
      <w:pPr>
        <w:spacing w:line="580" w:lineRule="exact"/>
        <w:ind w:firstLine="990" w:firstLineChars="275"/>
        <w:rPr>
          <w:rFonts w:eastAsia="楷体_GB2312"/>
          <w:sz w:val="36"/>
          <w:szCs w:val="24"/>
        </w:rPr>
      </w:pPr>
      <w:r>
        <w:rPr>
          <w:rFonts w:hint="eastAsia" w:eastAsia="楷体_GB2312"/>
          <w:sz w:val="36"/>
          <w:szCs w:val="24"/>
        </w:rPr>
        <w:t>专业代码：</w:t>
      </w:r>
      <w:r>
        <w:rPr>
          <w:rFonts w:hint="eastAsia" w:eastAsia="楷体_GB2312"/>
          <w:sz w:val="36"/>
          <w:szCs w:val="24"/>
          <w:lang w:val="en-US" w:eastAsia="zh-CN"/>
        </w:rPr>
        <w:t>470201</w:t>
      </w:r>
    </w:p>
    <w:p>
      <w:pPr>
        <w:spacing w:line="580" w:lineRule="exact"/>
        <w:ind w:firstLine="989" w:firstLineChars="255"/>
        <w:rPr>
          <w:rFonts w:eastAsia="楷体_GB2312"/>
          <w:spacing w:val="14"/>
          <w:sz w:val="36"/>
          <w:szCs w:val="24"/>
        </w:rPr>
      </w:pPr>
      <w:r>
        <w:rPr>
          <w:rFonts w:hint="eastAsia" w:eastAsia="楷体_GB2312"/>
          <w:spacing w:val="14"/>
          <w:sz w:val="36"/>
          <w:szCs w:val="24"/>
        </w:rPr>
        <w:t>所属专业门类或专业大类：</w:t>
      </w:r>
      <w:bookmarkStart w:id="0" w:name="_Toc26989"/>
      <w:r>
        <w:rPr>
          <w:rFonts w:hint="eastAsia" w:eastAsia="楷体_GB2312"/>
          <w:spacing w:val="14"/>
          <w:sz w:val="36"/>
          <w:szCs w:val="24"/>
          <w:lang w:val="en-US" w:eastAsia="zh-CN"/>
        </w:rPr>
        <w:t>生物与化工大类</w:t>
      </w:r>
      <w:bookmarkEnd w:id="0"/>
    </w:p>
    <w:p>
      <w:pPr>
        <w:spacing w:line="580" w:lineRule="exact"/>
        <w:ind w:firstLine="989" w:firstLineChars="255"/>
        <w:rPr>
          <w:rFonts w:eastAsia="楷体_GB2312"/>
          <w:spacing w:val="14"/>
          <w:sz w:val="36"/>
          <w:szCs w:val="24"/>
        </w:rPr>
      </w:pPr>
      <w:r>
        <w:rPr>
          <w:rFonts w:hint="eastAsia" w:eastAsia="楷体_GB2312"/>
          <w:spacing w:val="14"/>
          <w:sz w:val="36"/>
          <w:szCs w:val="24"/>
        </w:rPr>
        <w:t>修业年限：2.5年</w:t>
      </w:r>
    </w:p>
    <w:p>
      <w:pPr>
        <w:spacing w:line="580" w:lineRule="exact"/>
        <w:ind w:firstLine="989" w:firstLineChars="255"/>
        <w:rPr>
          <w:rFonts w:eastAsia="楷体_GB2312"/>
          <w:spacing w:val="14"/>
          <w:sz w:val="36"/>
          <w:szCs w:val="24"/>
        </w:rPr>
      </w:pPr>
      <w:r>
        <w:rPr>
          <w:rFonts w:hint="eastAsia" w:eastAsia="楷体_GB2312"/>
          <w:spacing w:val="14"/>
          <w:sz w:val="36"/>
          <w:szCs w:val="24"/>
        </w:rPr>
        <w:t>学习形式:成人业余</w:t>
      </w:r>
    </w:p>
    <w:p>
      <w:pPr>
        <w:spacing w:line="580" w:lineRule="exact"/>
        <w:ind w:firstLine="989" w:firstLineChars="255"/>
        <w:rPr>
          <w:rFonts w:eastAsia="楷体_GB2312"/>
          <w:spacing w:val="14"/>
          <w:sz w:val="36"/>
          <w:szCs w:val="24"/>
        </w:rPr>
      </w:pPr>
      <w:r>
        <w:rPr>
          <w:rFonts w:hint="eastAsia" w:eastAsia="楷体_GB2312"/>
          <w:spacing w:val="14"/>
          <w:sz w:val="36"/>
          <w:szCs w:val="24"/>
        </w:rPr>
        <w:t>培养层次:专科</w:t>
      </w:r>
    </w:p>
    <w:p>
      <w:pPr>
        <w:spacing w:line="580" w:lineRule="exact"/>
        <w:ind w:firstLine="1067" w:firstLineChars="275"/>
        <w:rPr>
          <w:rFonts w:hint="eastAsia" w:eastAsia="楷体_GB2312"/>
          <w:spacing w:val="14"/>
          <w:sz w:val="36"/>
          <w:szCs w:val="24"/>
        </w:rPr>
      </w:pPr>
      <w:r>
        <w:rPr>
          <w:rFonts w:hint="eastAsia" w:eastAsia="楷体_GB2312"/>
          <w:spacing w:val="14"/>
          <w:sz w:val="36"/>
          <w:szCs w:val="24"/>
        </w:rPr>
        <w:t>申请时间：202</w:t>
      </w:r>
      <w:r>
        <w:rPr>
          <w:rFonts w:hint="eastAsia" w:eastAsia="楷体_GB2312"/>
          <w:spacing w:val="14"/>
          <w:sz w:val="36"/>
          <w:szCs w:val="24"/>
          <w:lang w:val="en-US" w:eastAsia="zh-CN"/>
        </w:rPr>
        <w:t>3</w:t>
      </w:r>
      <w:r>
        <w:rPr>
          <w:rFonts w:hint="eastAsia" w:eastAsia="楷体_GB2312"/>
          <w:spacing w:val="14"/>
          <w:sz w:val="36"/>
          <w:szCs w:val="24"/>
        </w:rPr>
        <w:t>年1月</w:t>
      </w:r>
    </w:p>
    <w:p>
      <w:pPr>
        <w:spacing w:line="580" w:lineRule="exact"/>
        <w:ind w:firstLine="990" w:firstLineChars="275"/>
        <w:rPr>
          <w:rFonts w:hint="default" w:eastAsia="楷体_GB2312"/>
          <w:sz w:val="36"/>
          <w:szCs w:val="24"/>
          <w:lang w:val="en-US" w:eastAsia="zh-CN"/>
        </w:rPr>
      </w:pPr>
      <w:r>
        <w:rPr>
          <w:rFonts w:hint="eastAsia" w:eastAsia="楷体_GB2312"/>
          <w:sz w:val="36"/>
          <w:szCs w:val="24"/>
        </w:rPr>
        <w:t>专业负责人：</w:t>
      </w:r>
      <w:r>
        <w:rPr>
          <w:rFonts w:hint="eastAsia" w:eastAsia="楷体_GB2312"/>
          <w:sz w:val="36"/>
          <w:szCs w:val="24"/>
          <w:lang w:val="en-US" w:eastAsia="zh-CN"/>
        </w:rPr>
        <w:t>范紫权</w:t>
      </w:r>
    </w:p>
    <w:p>
      <w:pPr>
        <w:spacing w:line="580" w:lineRule="exact"/>
        <w:ind w:firstLine="990" w:firstLineChars="275"/>
        <w:rPr>
          <w:rFonts w:hint="default" w:eastAsia="楷体_GB2312"/>
          <w:sz w:val="36"/>
          <w:szCs w:val="24"/>
          <w:lang w:val="en-US" w:eastAsia="zh-CN"/>
        </w:rPr>
      </w:pPr>
      <w:r>
        <w:rPr>
          <w:rFonts w:hint="eastAsia" w:eastAsia="楷体_GB2312"/>
          <w:sz w:val="36"/>
          <w:szCs w:val="24"/>
        </w:rPr>
        <w:t>联系电话：</w:t>
      </w:r>
      <w:r>
        <w:rPr>
          <w:rFonts w:hint="eastAsia" w:eastAsia="楷体_GB2312"/>
          <w:sz w:val="36"/>
          <w:szCs w:val="24"/>
          <w:lang w:val="en-US" w:eastAsia="zh-CN"/>
        </w:rPr>
        <w:t>15170011190</w:t>
      </w:r>
    </w:p>
    <w:p>
      <w:pPr>
        <w:spacing w:line="580" w:lineRule="exact"/>
        <w:rPr>
          <w:rFonts w:eastAsia="楷体_GB2312"/>
          <w:sz w:val="44"/>
          <w:szCs w:val="24"/>
        </w:rPr>
      </w:pPr>
    </w:p>
    <w:p>
      <w:pPr>
        <w:spacing w:line="580" w:lineRule="exact"/>
        <w:rPr>
          <w:szCs w:val="24"/>
        </w:rPr>
      </w:pPr>
    </w:p>
    <w:p>
      <w:pPr>
        <w:spacing w:line="580" w:lineRule="exact"/>
        <w:jc w:val="center"/>
        <w:rPr>
          <w:rFonts w:eastAsia="楷体_GB2312"/>
          <w:sz w:val="36"/>
          <w:szCs w:val="24"/>
        </w:rPr>
      </w:pPr>
    </w:p>
    <w:p>
      <w:pPr>
        <w:spacing w:line="580" w:lineRule="exact"/>
        <w:jc w:val="center"/>
        <w:rPr>
          <w:rFonts w:eastAsia="楷体_GB2312"/>
          <w:sz w:val="36"/>
          <w:szCs w:val="24"/>
        </w:rPr>
      </w:pPr>
      <w:r>
        <w:rPr>
          <w:rFonts w:hint="eastAsia" w:eastAsia="楷体_GB2312"/>
          <w:sz w:val="36"/>
          <w:szCs w:val="24"/>
        </w:rPr>
        <w:t>中华人民共和国教育部制</w:t>
      </w:r>
    </w:p>
    <w:p>
      <w:pPr>
        <w:spacing w:line="580" w:lineRule="exact"/>
        <w:jc w:val="center"/>
        <w:rPr>
          <w:rFonts w:eastAsia="楷体_GB2312"/>
          <w:sz w:val="36"/>
          <w:szCs w:val="24"/>
        </w:rPr>
      </w:pPr>
    </w:p>
    <w:p>
      <w:pPr>
        <w:spacing w:line="580" w:lineRule="exact"/>
        <w:jc w:val="center"/>
        <w:rPr>
          <w:rFonts w:eastAsia="楷体_GB2312"/>
          <w:sz w:val="36"/>
          <w:szCs w:val="24"/>
        </w:rPr>
      </w:pPr>
    </w:p>
    <w:p>
      <w:pPr>
        <w:spacing w:line="580" w:lineRule="exact"/>
        <w:rPr>
          <w:rFonts w:eastAsia="楷体_GB2312"/>
          <w:sz w:val="36"/>
          <w:szCs w:val="24"/>
        </w:rPr>
      </w:pPr>
    </w:p>
    <w:p>
      <w:pPr>
        <w:spacing w:line="580" w:lineRule="exact"/>
        <w:rPr>
          <w:rFonts w:eastAsia="楷体_GB2312"/>
          <w:sz w:val="36"/>
          <w:szCs w:val="24"/>
        </w:rPr>
      </w:pPr>
    </w:p>
    <w:p>
      <w:pPr>
        <w:spacing w:line="580" w:lineRule="exact"/>
        <w:jc w:val="center"/>
        <w:rPr>
          <w:rFonts w:eastAsia="仿宋_GB2312"/>
          <w:b/>
          <w:bCs/>
          <w:sz w:val="36"/>
          <w:szCs w:val="36"/>
        </w:rPr>
      </w:pPr>
    </w:p>
    <w:p>
      <w:pPr>
        <w:spacing w:line="580" w:lineRule="exact"/>
        <w:jc w:val="center"/>
        <w:rPr>
          <w:rFonts w:eastAsia="仿宋_GB2312"/>
          <w:b/>
          <w:bCs/>
          <w:sz w:val="36"/>
          <w:szCs w:val="36"/>
        </w:rPr>
      </w:pPr>
      <w:r>
        <w:rPr>
          <w:rFonts w:hint="eastAsia" w:eastAsia="仿宋_GB2312"/>
          <w:b/>
          <w:bCs/>
          <w:sz w:val="36"/>
          <w:szCs w:val="36"/>
        </w:rPr>
        <w:t>目录</w:t>
      </w:r>
    </w:p>
    <w:p>
      <w:pPr>
        <w:spacing w:line="580" w:lineRule="exact"/>
        <w:rPr>
          <w:rFonts w:eastAsia="仿宋_GB2312"/>
          <w:sz w:val="32"/>
          <w:szCs w:val="24"/>
        </w:rPr>
      </w:pPr>
    </w:p>
    <w:p>
      <w:pPr>
        <w:spacing w:line="580" w:lineRule="exact"/>
        <w:rPr>
          <w:rFonts w:ascii="仿宋_GB2312" w:eastAsia="仿宋_GB2312"/>
          <w:sz w:val="32"/>
          <w:szCs w:val="24"/>
        </w:rPr>
      </w:pPr>
      <w:r>
        <w:rPr>
          <w:rFonts w:hint="eastAsia" w:ascii="仿宋_GB2312" w:eastAsia="仿宋_GB2312"/>
          <w:sz w:val="32"/>
          <w:szCs w:val="24"/>
        </w:rPr>
        <w:t>1. 专业增设申请表</w:t>
      </w:r>
    </w:p>
    <w:p>
      <w:pPr>
        <w:spacing w:line="580" w:lineRule="exact"/>
        <w:rPr>
          <w:rFonts w:ascii="仿宋_GB2312" w:eastAsia="仿宋_GB2312"/>
          <w:sz w:val="32"/>
          <w:szCs w:val="24"/>
        </w:rPr>
      </w:pPr>
      <w:r>
        <w:rPr>
          <w:rFonts w:hint="eastAsia" w:ascii="仿宋_GB2312" w:eastAsia="仿宋_GB2312"/>
          <w:sz w:val="32"/>
          <w:szCs w:val="24"/>
        </w:rPr>
        <w:t>2. 学校基本情况</w:t>
      </w:r>
    </w:p>
    <w:p>
      <w:pPr>
        <w:spacing w:line="580" w:lineRule="exact"/>
        <w:rPr>
          <w:rFonts w:ascii="仿宋_GB2312" w:eastAsia="仿宋_GB2312"/>
          <w:sz w:val="32"/>
          <w:szCs w:val="24"/>
        </w:rPr>
      </w:pPr>
      <w:r>
        <w:rPr>
          <w:rFonts w:hint="eastAsia" w:ascii="仿宋_GB2312" w:eastAsia="仿宋_GB2312"/>
          <w:sz w:val="32"/>
          <w:szCs w:val="24"/>
        </w:rPr>
        <w:t>3. 增设专业的理由和基础</w:t>
      </w:r>
    </w:p>
    <w:p>
      <w:pPr>
        <w:spacing w:line="580" w:lineRule="exact"/>
        <w:rPr>
          <w:rFonts w:ascii="仿宋_GB2312" w:eastAsia="仿宋_GB2312"/>
          <w:sz w:val="32"/>
          <w:szCs w:val="24"/>
        </w:rPr>
      </w:pPr>
      <w:r>
        <w:rPr>
          <w:rFonts w:hint="eastAsia" w:ascii="仿宋_GB2312" w:eastAsia="仿宋_GB2312"/>
          <w:sz w:val="32"/>
          <w:szCs w:val="24"/>
        </w:rPr>
        <w:t>4. 增设专业人才培养方案</w:t>
      </w:r>
    </w:p>
    <w:p>
      <w:pPr>
        <w:spacing w:line="580" w:lineRule="exact"/>
        <w:rPr>
          <w:rFonts w:ascii="仿宋_GB2312" w:eastAsia="仿宋_GB2312"/>
          <w:sz w:val="32"/>
          <w:szCs w:val="24"/>
        </w:rPr>
      </w:pPr>
      <w:r>
        <w:rPr>
          <w:rFonts w:hint="eastAsia" w:ascii="仿宋_GB2312" w:eastAsia="仿宋_GB2312"/>
          <w:sz w:val="32"/>
          <w:szCs w:val="24"/>
        </w:rPr>
        <w:t>5. 增设专业专任教师情况</w:t>
      </w:r>
    </w:p>
    <w:p>
      <w:pPr>
        <w:spacing w:line="580" w:lineRule="exact"/>
        <w:rPr>
          <w:rFonts w:ascii="仿宋_GB2312" w:eastAsia="仿宋_GB2312"/>
          <w:sz w:val="32"/>
          <w:szCs w:val="24"/>
        </w:rPr>
      </w:pPr>
      <w:r>
        <w:rPr>
          <w:rFonts w:hint="eastAsia" w:ascii="仿宋_GB2312" w:eastAsia="仿宋_GB2312"/>
          <w:sz w:val="32"/>
          <w:szCs w:val="24"/>
        </w:rPr>
        <w:t>6. 增设专业计划开设的主要课程</w:t>
      </w:r>
    </w:p>
    <w:p>
      <w:pPr>
        <w:spacing w:line="580" w:lineRule="exact"/>
        <w:rPr>
          <w:rFonts w:ascii="仿宋_GB2312" w:eastAsia="仿宋_GB2312"/>
          <w:sz w:val="32"/>
          <w:szCs w:val="24"/>
        </w:rPr>
      </w:pPr>
      <w:r>
        <w:rPr>
          <w:rFonts w:hint="eastAsia" w:ascii="仿宋_GB2312" w:eastAsia="仿宋_GB2312"/>
          <w:sz w:val="32"/>
          <w:szCs w:val="24"/>
        </w:rPr>
        <w:t>7. 增设专业基本办学条件</w:t>
      </w:r>
    </w:p>
    <w:p>
      <w:pPr>
        <w:spacing w:line="580" w:lineRule="exact"/>
        <w:rPr>
          <w:rFonts w:ascii="仿宋_GB2312" w:eastAsia="仿宋_GB2312"/>
          <w:sz w:val="32"/>
          <w:szCs w:val="24"/>
        </w:rPr>
      </w:pPr>
    </w:p>
    <w:p>
      <w:pPr>
        <w:spacing w:line="580" w:lineRule="exact"/>
        <w:rPr>
          <w:sz w:val="32"/>
          <w:szCs w:val="24"/>
        </w:rPr>
      </w:pPr>
    </w:p>
    <w:p>
      <w:pPr>
        <w:spacing w:line="580" w:lineRule="exact"/>
        <w:rPr>
          <w:szCs w:val="24"/>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jc w:val="center"/>
        <w:rPr>
          <w:rFonts w:eastAsia="仿宋_GB2312"/>
          <w:b/>
          <w:bCs/>
          <w:spacing w:val="100"/>
          <w:sz w:val="32"/>
          <w:szCs w:val="32"/>
        </w:rPr>
      </w:pPr>
    </w:p>
    <w:p>
      <w:pPr>
        <w:spacing w:line="580" w:lineRule="exact"/>
        <w:jc w:val="center"/>
        <w:rPr>
          <w:rFonts w:eastAsia="仿宋_GB2312"/>
          <w:b/>
          <w:bCs/>
          <w:spacing w:val="100"/>
          <w:sz w:val="32"/>
          <w:szCs w:val="32"/>
        </w:rPr>
      </w:pPr>
      <w:r>
        <w:rPr>
          <w:rFonts w:hint="eastAsia" w:eastAsia="仿宋_GB2312"/>
          <w:b/>
          <w:bCs/>
          <w:spacing w:val="100"/>
          <w:sz w:val="32"/>
          <w:szCs w:val="32"/>
        </w:rPr>
        <w:t>填表说明</w:t>
      </w:r>
    </w:p>
    <w:p>
      <w:pPr>
        <w:spacing w:line="580" w:lineRule="exact"/>
        <w:jc w:val="center"/>
        <w:rPr>
          <w:rFonts w:eastAsia="仿宋_GB2312"/>
          <w:spacing w:val="100"/>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申请表限用A4纸张打印并装订成册（各专业分别装订）</w:t>
      </w:r>
      <w:r>
        <w:rPr>
          <w:rFonts w:hint="eastAsia" w:ascii="Times New Roman" w:hAnsi="Times New Roman" w:eastAsia="仿宋_GB2312"/>
          <w:sz w:val="32"/>
          <w:szCs w:val="32"/>
        </w:rPr>
        <w:t>;</w:t>
      </w:r>
    </w:p>
    <w:p>
      <w:pPr>
        <w:spacing w:line="560" w:lineRule="exact"/>
      </w:pPr>
      <w:r>
        <w:rPr>
          <w:rFonts w:hint="eastAsia" w:ascii="Times New Roman" w:hAnsi="Times New Roman" w:eastAsia="仿宋_GB2312"/>
          <w:sz w:val="32"/>
          <w:szCs w:val="32"/>
        </w:rPr>
        <w:t>2.</w:t>
      </w:r>
      <w:r>
        <w:rPr>
          <w:rFonts w:hint="eastAsia" w:ascii="仿宋_GB2312" w:hAnsi="宋体" w:eastAsia="仿宋_GB2312"/>
          <w:sz w:val="32"/>
          <w:szCs w:val="32"/>
        </w:rPr>
        <w:t>在学校办学基本类型对应的方框中画“”√;</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3.所有表格均可另加页;</w:t>
      </w:r>
    </w:p>
    <w:p>
      <w:pPr>
        <w:spacing w:line="560" w:lineRule="exact"/>
        <w:rPr>
          <w:sz w:val="30"/>
          <w:szCs w:val="30"/>
        </w:rPr>
      </w:pPr>
      <w:r>
        <w:rPr>
          <w:rFonts w:hint="eastAsia" w:ascii="Times New Roman" w:hAnsi="Times New Roman" w:eastAsia="仿宋_GB2312"/>
          <w:sz w:val="32"/>
          <w:szCs w:val="32"/>
        </w:rPr>
        <w:t>4.本表内容应真实、准确。</w:t>
      </w:r>
    </w:p>
    <w:p>
      <w:pPr>
        <w:spacing w:line="56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afterLines="50" w:line="580" w:lineRule="exact"/>
        <w:jc w:val="center"/>
        <w:rPr>
          <w:rFonts w:ascii="Times New Roman" w:hAnsi="Times New Roman" w:eastAsia="黑体"/>
          <w:bCs/>
          <w:sz w:val="32"/>
          <w:szCs w:val="24"/>
        </w:rPr>
      </w:pPr>
      <w:r>
        <w:rPr>
          <w:rFonts w:ascii="Times New Roman" w:hAnsi="Times New Roman" w:eastAsia="黑体"/>
          <w:bCs/>
          <w:sz w:val="32"/>
          <w:szCs w:val="24"/>
        </w:rPr>
        <w:t>1.专业</w:t>
      </w:r>
      <w:r>
        <w:rPr>
          <w:rFonts w:hint="eastAsia" w:ascii="Times New Roman" w:hAnsi="Times New Roman" w:eastAsia="黑体"/>
          <w:bCs/>
          <w:sz w:val="32"/>
          <w:szCs w:val="24"/>
        </w:rPr>
        <w:t>增设</w:t>
      </w:r>
      <w:r>
        <w:rPr>
          <w:rFonts w:ascii="Times New Roman" w:hAnsi="Times New Roman" w:eastAsia="黑体"/>
          <w:bCs/>
          <w:sz w:val="32"/>
          <w:szCs w:val="24"/>
        </w:rPr>
        <w:t>申请表</w:t>
      </w:r>
    </w:p>
    <w:tbl>
      <w:tblPr>
        <w:tblStyle w:val="13"/>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32"/>
        <w:gridCol w:w="1656"/>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专业代码</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470201</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专业名称</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lang w:val="en-US" w:eastAsia="zh-CN"/>
              </w:rPr>
              <w:t>应用化工技术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学习形式</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业余</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培养层次</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4"/>
                <w:szCs w:val="24"/>
              </w:rPr>
            </w:pPr>
            <w:r>
              <w:rPr>
                <w:rFonts w:hint="eastAsia"/>
                <w:color w:val="000000"/>
                <w:sz w:val="24"/>
                <w:szCs w:val="24"/>
              </w:rPr>
              <w:t>修业年限</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4"/>
                <w:szCs w:val="24"/>
              </w:rPr>
            </w:pPr>
            <w:r>
              <w:rPr>
                <w:rFonts w:hint="eastAsia"/>
                <w:color w:val="000000"/>
                <w:sz w:val="24"/>
                <w:szCs w:val="24"/>
              </w:rPr>
              <w:t>2.5年</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4"/>
                <w:szCs w:val="24"/>
              </w:rPr>
            </w:pPr>
            <w:r>
              <w:rPr>
                <w:rFonts w:hint="eastAsia"/>
                <w:color w:val="000000"/>
                <w:sz w:val="24"/>
                <w:szCs w:val="24"/>
              </w:rPr>
              <w:t>现有专业（个）</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sz w:val="24"/>
                <w:szCs w:val="24"/>
                <w:lang w:val="en-US" w:eastAsia="zh-CN"/>
              </w:rPr>
            </w:pPr>
            <w:r>
              <w:rPr>
                <w:rFonts w:hint="eastAsia"/>
                <w:sz w:val="24"/>
                <w:szCs w:val="24"/>
                <w:lang w:val="en-US" w:eastAsia="zh-CN"/>
              </w:rPr>
              <w:t>76个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学科门类（本科）或专业大类（专科）</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lang w:val="en-US" w:eastAsia="zh-CN"/>
              </w:rPr>
              <w:t>生物与化工大类</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本校已设的相近专业及开设年份</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eastAsia="宋体"/>
                <w:sz w:val="24"/>
                <w:szCs w:val="24"/>
                <w:lang w:val="en-US" w:eastAsia="zh-CN"/>
              </w:rPr>
              <w:t>应用化工技术</w:t>
            </w:r>
          </w:p>
          <w:p>
            <w:pPr>
              <w:spacing w:line="360" w:lineRule="exact"/>
              <w:jc w:val="center"/>
              <w:rPr>
                <w:rFonts w:hint="eastAsia" w:eastAsia="宋体"/>
                <w:sz w:val="24"/>
                <w:szCs w:val="24"/>
                <w:lang w:val="en-US" w:eastAsia="zh-CN"/>
              </w:rPr>
            </w:pPr>
            <w:r>
              <w:rPr>
                <w:rFonts w:hint="eastAsia" w:eastAsia="宋体"/>
                <w:sz w:val="24"/>
                <w:szCs w:val="24"/>
                <w:lang w:val="en-US" w:eastAsia="zh-CN"/>
              </w:rPr>
              <w:t>（助力计划）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拟首次招生时间</w:t>
            </w:r>
          </w:p>
          <w:p>
            <w:pPr>
              <w:spacing w:line="360" w:lineRule="exact"/>
              <w:jc w:val="center"/>
              <w:rPr>
                <w:sz w:val="24"/>
                <w:szCs w:val="24"/>
              </w:rPr>
            </w:pPr>
            <w:r>
              <w:rPr>
                <w:rFonts w:hint="eastAsia"/>
                <w:sz w:val="24"/>
                <w:szCs w:val="24"/>
              </w:rPr>
              <w:t>及招生数</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sz w:val="24"/>
                <w:szCs w:val="24"/>
                <w:highlight w:val="none"/>
                <w:lang w:val="en-US" w:eastAsia="zh-CN"/>
              </w:rPr>
            </w:pPr>
            <w:r>
              <w:rPr>
                <w:rFonts w:hint="eastAsia"/>
                <w:sz w:val="24"/>
                <w:szCs w:val="24"/>
                <w:highlight w:val="none"/>
                <w:lang w:val="en-US" w:eastAsia="zh-CN"/>
              </w:rPr>
              <w:t>2023年8月</w:t>
            </w:r>
          </w:p>
          <w:p>
            <w:pPr>
              <w:spacing w:line="360" w:lineRule="exact"/>
              <w:jc w:val="center"/>
              <w:rPr>
                <w:rFonts w:hint="default"/>
                <w:sz w:val="24"/>
                <w:szCs w:val="24"/>
                <w:highlight w:val="none"/>
                <w:lang w:val="en-US" w:eastAsia="zh-CN"/>
              </w:rPr>
            </w:pPr>
            <w:r>
              <w:rPr>
                <w:rFonts w:hint="eastAsia"/>
                <w:sz w:val="24"/>
                <w:szCs w:val="24"/>
                <w:highlight w:val="none"/>
                <w:lang w:val="en-US" w:eastAsia="zh-CN"/>
              </w:rPr>
              <w:t>300</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highlight w:val="none"/>
              </w:rPr>
            </w:pPr>
            <w:r>
              <w:rPr>
                <w:rFonts w:hint="eastAsia"/>
                <w:sz w:val="24"/>
                <w:szCs w:val="24"/>
                <w:highlight w:val="none"/>
              </w:rPr>
              <w:t>五年内计划</w:t>
            </w:r>
          </w:p>
          <w:p>
            <w:pPr>
              <w:spacing w:line="360" w:lineRule="exact"/>
              <w:jc w:val="center"/>
              <w:rPr>
                <w:sz w:val="24"/>
                <w:szCs w:val="24"/>
                <w:highlight w:val="none"/>
              </w:rPr>
            </w:pPr>
            <w:r>
              <w:rPr>
                <w:rFonts w:hint="eastAsia"/>
                <w:sz w:val="24"/>
                <w:szCs w:val="24"/>
                <w:highlight w:val="none"/>
              </w:rPr>
              <w:t>发展规模</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sz w:val="24"/>
                <w:szCs w:val="24"/>
                <w:highlight w:val="none"/>
                <w:lang w:val="en-US" w:eastAsia="zh-CN"/>
              </w:rPr>
            </w:pPr>
            <w:r>
              <w:rPr>
                <w:rFonts w:hint="eastAsia"/>
                <w:sz w:val="24"/>
                <w:szCs w:val="24"/>
                <w:highlight w:val="none"/>
                <w:lang w:val="en-US" w:eastAsia="zh-CN"/>
              </w:rPr>
              <w:t>1200-1500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学校专业设置评议专家组织评议意见</w:t>
            </w:r>
          </w:p>
          <w:p>
            <w:pPr>
              <w:spacing w:line="360" w:lineRule="exact"/>
              <w:jc w:val="center"/>
              <w:rPr>
                <w:sz w:val="24"/>
                <w:szCs w:val="24"/>
              </w:rPr>
            </w:pP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ind w:firstLine="3240" w:firstLineChars="1350"/>
              <w:rPr>
                <w:sz w:val="24"/>
                <w:szCs w:val="24"/>
              </w:rPr>
            </w:pPr>
            <w:r>
              <w:rPr>
                <w:rFonts w:hint="eastAsia"/>
                <w:sz w:val="24"/>
                <w:szCs w:val="24"/>
              </w:rPr>
              <w:t>（主任签字）</w:t>
            </w:r>
          </w:p>
          <w:p>
            <w:pPr>
              <w:spacing w:line="360" w:lineRule="exact"/>
              <w:rPr>
                <w:sz w:val="24"/>
                <w:szCs w:val="24"/>
              </w:rPr>
            </w:pPr>
          </w:p>
          <w:p>
            <w:pPr>
              <w:spacing w:line="360" w:lineRule="exact"/>
              <w:jc w:val="center"/>
              <w:rPr>
                <w:sz w:val="24"/>
                <w:szCs w:val="24"/>
              </w:rPr>
            </w:pPr>
            <w:r>
              <w:rPr>
                <w:rFonts w:hint="eastAsia"/>
                <w:sz w:val="24"/>
                <w:szCs w:val="24"/>
              </w:rPr>
              <w:t xml:space="preserve">                                  年   月   日</w:t>
            </w:r>
          </w:p>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3"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学校意见</w:t>
            </w: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ind w:firstLine="3360" w:firstLineChars="1400"/>
              <w:rPr>
                <w:sz w:val="24"/>
                <w:szCs w:val="24"/>
              </w:rPr>
            </w:pPr>
          </w:p>
          <w:p>
            <w:pPr>
              <w:spacing w:line="360" w:lineRule="exact"/>
              <w:rPr>
                <w:sz w:val="24"/>
                <w:szCs w:val="24"/>
              </w:rPr>
            </w:pPr>
            <w:r>
              <w:rPr>
                <w:rFonts w:hint="eastAsia"/>
                <w:sz w:val="24"/>
                <w:szCs w:val="24"/>
              </w:rPr>
              <w:t>（校长签字）                   学校（盖章）：</w:t>
            </w:r>
          </w:p>
          <w:p>
            <w:pPr>
              <w:spacing w:line="360" w:lineRule="exact"/>
              <w:rPr>
                <w:sz w:val="24"/>
                <w:szCs w:val="24"/>
              </w:rPr>
            </w:pPr>
          </w:p>
          <w:p>
            <w:pPr>
              <w:spacing w:line="360" w:lineRule="exact"/>
              <w:jc w:val="center"/>
              <w:rPr>
                <w:sz w:val="24"/>
                <w:szCs w:val="24"/>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省级</w:t>
            </w:r>
          </w:p>
          <w:p>
            <w:pPr>
              <w:jc w:val="center"/>
              <w:rPr>
                <w:rFonts w:ascii="宋体" w:hAnsi="宋体"/>
                <w:sz w:val="24"/>
                <w:szCs w:val="24"/>
              </w:rPr>
            </w:pPr>
            <w:r>
              <w:rPr>
                <w:rFonts w:hint="eastAsia" w:ascii="宋体" w:hAnsi="宋体"/>
                <w:sz w:val="24"/>
                <w:szCs w:val="24"/>
              </w:rPr>
              <w:t>教育</w:t>
            </w:r>
          </w:p>
          <w:p>
            <w:pPr>
              <w:jc w:val="center"/>
              <w:rPr>
                <w:rFonts w:ascii="宋体" w:hAnsi="宋体"/>
                <w:sz w:val="24"/>
                <w:szCs w:val="24"/>
              </w:rPr>
            </w:pPr>
            <w:r>
              <w:rPr>
                <w:rFonts w:hint="eastAsia" w:ascii="宋体" w:hAnsi="宋体"/>
                <w:sz w:val="24"/>
                <w:szCs w:val="24"/>
              </w:rPr>
              <w:t>行政</w:t>
            </w:r>
          </w:p>
          <w:p>
            <w:pPr>
              <w:jc w:val="center"/>
              <w:rPr>
                <w:rFonts w:ascii="宋体" w:hAnsi="宋体"/>
                <w:sz w:val="24"/>
                <w:szCs w:val="24"/>
              </w:rPr>
            </w:pPr>
            <w:r>
              <w:rPr>
                <w:rFonts w:hint="eastAsia" w:ascii="宋体" w:hAnsi="宋体"/>
                <w:sz w:val="24"/>
                <w:szCs w:val="24"/>
              </w:rPr>
              <w:t>部门</w:t>
            </w:r>
          </w:p>
          <w:p>
            <w:pPr>
              <w:spacing w:line="360" w:lineRule="exact"/>
              <w:jc w:val="center"/>
              <w:rPr>
                <w:sz w:val="24"/>
                <w:szCs w:val="24"/>
              </w:rPr>
            </w:pPr>
            <w:r>
              <w:rPr>
                <w:rFonts w:hint="eastAsia" w:ascii="宋体" w:hAnsi="宋体"/>
                <w:sz w:val="24"/>
                <w:szCs w:val="24"/>
              </w:rPr>
              <w:t>意见</w:t>
            </w: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r>
              <w:rPr>
                <w:rFonts w:hint="eastAsia"/>
                <w:sz w:val="24"/>
                <w:szCs w:val="24"/>
              </w:rPr>
              <w:t xml:space="preserve">                             盖章：</w:t>
            </w:r>
          </w:p>
          <w:p>
            <w:pPr>
              <w:spacing w:line="360" w:lineRule="exact"/>
              <w:rPr>
                <w:sz w:val="24"/>
                <w:szCs w:val="24"/>
              </w:rPr>
            </w:pPr>
          </w:p>
          <w:p>
            <w:pPr>
              <w:spacing w:line="360" w:lineRule="exact"/>
              <w:rPr>
                <w:sz w:val="24"/>
                <w:szCs w:val="24"/>
              </w:rPr>
            </w:pPr>
            <w:r>
              <w:rPr>
                <w:rFonts w:hint="eastAsia"/>
                <w:sz w:val="24"/>
                <w:szCs w:val="24"/>
              </w:rPr>
              <w:t xml:space="preserve">                                年   月   日</w:t>
            </w:r>
          </w:p>
        </w:tc>
      </w:tr>
    </w:tbl>
    <w:p>
      <w:pPr>
        <w:spacing w:line="580" w:lineRule="exact"/>
        <w:rPr>
          <w:rFonts w:eastAsia="仿宋_GB2312"/>
          <w:b/>
          <w:sz w:val="24"/>
          <w:szCs w:val="24"/>
        </w:rPr>
      </w:pPr>
      <w:r>
        <w:rPr>
          <w:rFonts w:hint="eastAsia" w:eastAsia="仿宋_GB2312"/>
          <w:sz w:val="24"/>
          <w:szCs w:val="24"/>
        </w:rPr>
        <w:t>注：专业代码按《办法》规定的专业目录填写。</w:t>
      </w:r>
    </w:p>
    <w:p>
      <w:pPr>
        <w:spacing w:afterLines="50" w:line="580" w:lineRule="exact"/>
        <w:jc w:val="center"/>
        <w:rPr>
          <w:rFonts w:hint="eastAsia" w:ascii="宋体" w:hAnsi="宋体" w:cs="宋体"/>
          <w:sz w:val="32"/>
          <w:szCs w:val="32"/>
        </w:rPr>
      </w:pPr>
    </w:p>
    <w:p>
      <w:pPr>
        <w:spacing w:afterLines="50" w:line="580" w:lineRule="exact"/>
        <w:jc w:val="center"/>
        <w:rPr>
          <w:rFonts w:ascii="Times New Roman" w:hAnsi="Times New Roman" w:eastAsia="黑体"/>
          <w:sz w:val="32"/>
          <w:szCs w:val="32"/>
        </w:rPr>
      </w:pPr>
      <w:r>
        <w:rPr>
          <w:rFonts w:hint="eastAsia" w:ascii="宋体" w:hAnsi="宋体" w:cs="宋体"/>
          <w:sz w:val="32"/>
          <w:szCs w:val="32"/>
        </w:rPr>
        <w:t>⒉</w:t>
      </w:r>
      <w:r>
        <w:rPr>
          <w:rFonts w:ascii="Times New Roman" w:hAnsi="Times New Roman" w:eastAsia="黑体"/>
          <w:sz w:val="32"/>
          <w:szCs w:val="32"/>
        </w:rPr>
        <w:t>学校基本情况</w:t>
      </w:r>
    </w:p>
    <w:tbl>
      <w:tblPr>
        <w:tblStyle w:val="13"/>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863"/>
        <w:gridCol w:w="737"/>
        <w:gridCol w:w="588"/>
        <w:gridCol w:w="278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24"/>
                <w:szCs w:val="24"/>
              </w:rPr>
            </w:pPr>
            <w:r>
              <w:rPr>
                <w:rFonts w:hint="default" w:ascii="Times New Roman" w:hAnsi="Times New Roman" w:cs="Times New Roman"/>
                <w:sz w:val="24"/>
                <w:szCs w:val="24"/>
              </w:rPr>
              <w:t>学校名称</w:t>
            </w:r>
          </w:p>
        </w:tc>
        <w:tc>
          <w:tcPr>
            <w:tcW w:w="1863"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Times New Roman" w:hAnsi="Times New Roman" w:eastAsia="黑体" w:cs="Times New Roman"/>
                <w:sz w:val="24"/>
                <w:szCs w:val="24"/>
              </w:rPr>
            </w:pPr>
            <w:r>
              <w:rPr>
                <w:rFonts w:hint="default" w:ascii="Times New Roman" w:hAnsi="Times New Roman" w:cs="Times New Roman"/>
                <w:sz w:val="24"/>
                <w:szCs w:val="24"/>
              </w:rPr>
              <w:t>江西开放大学</w:t>
            </w: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24"/>
                <w:szCs w:val="24"/>
              </w:rPr>
            </w:pPr>
            <w:r>
              <w:rPr>
                <w:rFonts w:hint="default" w:ascii="Times New Roman" w:hAnsi="Times New Roman" w:cs="Times New Roman"/>
                <w:sz w:val="24"/>
                <w:szCs w:val="24"/>
              </w:rPr>
              <w:t>学校地址</w:t>
            </w:r>
          </w:p>
        </w:tc>
        <w:tc>
          <w:tcPr>
            <w:tcW w:w="3744"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cs="Times New Roman"/>
                <w:sz w:val="24"/>
                <w:szCs w:val="24"/>
              </w:rPr>
            </w:pPr>
            <w:r>
              <w:rPr>
                <w:rFonts w:hint="default" w:ascii="Times New Roman" w:hAnsi="Times New Roman" w:cs="Times New Roman"/>
                <w:sz w:val="24"/>
                <w:szCs w:val="24"/>
              </w:rPr>
              <w:t>江西省南昌市洪都北大道86号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24"/>
                <w:szCs w:val="24"/>
              </w:rPr>
            </w:pPr>
            <w:r>
              <w:rPr>
                <w:rFonts w:hint="default" w:ascii="Times New Roman" w:hAnsi="Times New Roman" w:cs="Times New Roman"/>
                <w:sz w:val="24"/>
                <w:szCs w:val="24"/>
              </w:rPr>
              <w:t>邮政编码</w:t>
            </w:r>
          </w:p>
        </w:tc>
        <w:tc>
          <w:tcPr>
            <w:tcW w:w="186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330046</w:t>
            </w: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24"/>
                <w:szCs w:val="24"/>
              </w:rPr>
            </w:pPr>
            <w:r>
              <w:rPr>
                <w:rFonts w:hint="default" w:ascii="Times New Roman" w:hAnsi="Times New Roman" w:cs="Times New Roman"/>
                <w:sz w:val="24"/>
                <w:szCs w:val="24"/>
              </w:rPr>
              <w:t>校园网址</w:t>
            </w:r>
          </w:p>
        </w:tc>
        <w:tc>
          <w:tcPr>
            <w:tcW w:w="3744"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cs="Times New Roman"/>
                <w:sz w:val="24"/>
                <w:szCs w:val="24"/>
              </w:rPr>
            </w:pPr>
            <w:r>
              <w:rPr>
                <w:rFonts w:hint="default" w:ascii="Times New Roman" w:hAnsi="Times New Roman" w:cs="Times New Roman"/>
                <w:sz w:val="24"/>
                <w:szCs w:val="24"/>
              </w:rPr>
              <w:t>http://www.jxrtvu.com/main.htm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24"/>
                <w:szCs w:val="24"/>
              </w:rPr>
            </w:pPr>
            <w:r>
              <w:rPr>
                <w:rFonts w:hint="default" w:ascii="Times New Roman" w:hAnsi="Times New Roman" w:cs="Times New Roman"/>
                <w:sz w:val="24"/>
                <w:szCs w:val="24"/>
              </w:rPr>
              <w:t>在校生总数</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2632</w:t>
            </w:r>
          </w:p>
        </w:tc>
        <w:tc>
          <w:tcPr>
            <w:tcW w:w="337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cs="Times New Roman"/>
                <w:sz w:val="24"/>
                <w:szCs w:val="24"/>
              </w:rPr>
            </w:pPr>
            <w:r>
              <w:rPr>
                <w:rFonts w:hint="default" w:ascii="Times New Roman" w:hAnsi="Times New Roman" w:cs="Times New Roman"/>
                <w:sz w:val="24"/>
                <w:szCs w:val="24"/>
              </w:rPr>
              <w:t>专业平均年招生规模</w:t>
            </w:r>
          </w:p>
        </w:tc>
        <w:tc>
          <w:tcPr>
            <w:tcW w:w="95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cs="Times New Roman"/>
                <w:sz w:val="24"/>
                <w:szCs w:val="24"/>
              </w:rPr>
            </w:pPr>
            <w:r>
              <w:rPr>
                <w:rFonts w:hint="default" w:ascii="Times New Roman" w:hAnsi="Times New Roman" w:cs="Times New Roman"/>
                <w:sz w:val="24"/>
                <w:szCs w:val="24"/>
              </w:rPr>
              <w:t>学校办学类型</w:t>
            </w:r>
          </w:p>
        </w:tc>
        <w:tc>
          <w:tcPr>
            <w:tcW w:w="6932" w:type="dxa"/>
            <w:gridSpan w:val="5"/>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□开放大学   </w:t>
            </w:r>
            <w:r>
              <w:rPr>
                <w:rFonts w:hint="default" w:ascii="Times New Roman" w:hAnsi="Times New Roman" w:cs="Times New Roman" w:eastAsiaTheme="minorEastAsia"/>
                <w:sz w:val="24"/>
                <w:szCs w:val="24"/>
              </w:rPr>
              <w:sym w:font="Wingdings 2" w:char="0052"/>
            </w:r>
            <w:r>
              <w:rPr>
                <w:rFonts w:hint="default" w:ascii="Times New Roman" w:hAnsi="Times New Roman" w:cs="Times New Roman" w:eastAsiaTheme="minorEastAsia"/>
                <w:sz w:val="24"/>
                <w:szCs w:val="24"/>
              </w:rPr>
              <w:t>独立设置成人高校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cs="Times New Roman"/>
                <w:sz w:val="24"/>
                <w:szCs w:val="24"/>
              </w:rPr>
            </w:pPr>
            <w:r>
              <w:rPr>
                <w:rFonts w:hint="default" w:ascii="Times New Roman" w:hAnsi="Times New Roman" w:cs="Times New Roman"/>
                <w:sz w:val="24"/>
                <w:szCs w:val="24"/>
              </w:rPr>
              <w:t>已有学科门类或专业大类</w:t>
            </w:r>
          </w:p>
        </w:tc>
        <w:tc>
          <w:tcPr>
            <w:tcW w:w="693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default" w:ascii="Times New Roman" w:hAnsi="Times New Roman" w:eastAsia="黑体" w:cs="Times New Roman"/>
                <w:sz w:val="24"/>
                <w:szCs w:val="24"/>
              </w:rPr>
            </w:pPr>
            <w:r>
              <w:rPr>
                <w:rFonts w:hint="default" w:ascii="Times New Roman" w:hAnsi="Times New Roman" w:cs="Times New Roman" w:eastAsiaTheme="minorEastAsia"/>
                <w:sz w:val="24"/>
                <w:szCs w:val="24"/>
              </w:rPr>
              <w:t>管理学科、经济学科、法学科、教育学科、文学科、工学科、农学科、医学科</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财经商贸大类、教育与体育大类、公共管理与服务大类、土木建筑大类、电子信息大类、医药卫生大类、农林牧渔大类、公安与司法大类、装备制造大类、交通运输大类、生物与化工大类、能源动力与材料大类、水利大类、旅游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580" w:lineRule="exact"/>
              <w:ind w:right="-105" w:rightChars="-50"/>
              <w:jc w:val="center"/>
              <w:rPr>
                <w:rFonts w:hint="default" w:ascii="Times New Roman" w:hAnsi="Times New Roman" w:eastAsia="黑体" w:cs="Times New Roman"/>
                <w:sz w:val="24"/>
                <w:szCs w:val="24"/>
              </w:rPr>
            </w:pPr>
            <w:r>
              <w:rPr>
                <w:rFonts w:hint="default" w:ascii="Times New Roman" w:hAnsi="Times New Roman" w:cs="Times New Roman"/>
                <w:sz w:val="24"/>
                <w:szCs w:val="24"/>
              </w:rPr>
              <w:t>专任教师总数（人）</w:t>
            </w:r>
          </w:p>
        </w:tc>
        <w:tc>
          <w:tcPr>
            <w:tcW w:w="3188"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24"/>
                <w:szCs w:val="24"/>
              </w:rPr>
            </w:pPr>
            <w:r>
              <w:rPr>
                <w:rFonts w:hint="default" w:ascii="Times New Roman" w:hAnsi="Times New Roman" w:cs="Times New Roman" w:eastAsiaTheme="minorEastAsia"/>
                <w:sz w:val="24"/>
                <w:szCs w:val="24"/>
              </w:rPr>
              <w:t>274</w:t>
            </w:r>
          </w:p>
        </w:tc>
        <w:tc>
          <w:tcPr>
            <w:tcW w:w="278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24"/>
                <w:szCs w:val="24"/>
              </w:rPr>
            </w:pPr>
            <w:r>
              <w:rPr>
                <w:rFonts w:hint="default" w:ascii="Times New Roman" w:hAnsi="Times New Roman" w:cs="Times New Roman"/>
                <w:sz w:val="24"/>
                <w:szCs w:val="24"/>
              </w:rPr>
              <w:t>专任教师中副教授及以上职称教师所占比例</w:t>
            </w:r>
          </w:p>
        </w:tc>
        <w:tc>
          <w:tcPr>
            <w:tcW w:w="95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黑体" w:cs="Times New Roman"/>
                <w:sz w:val="24"/>
                <w:szCs w:val="24"/>
              </w:rPr>
            </w:pPr>
            <w:r>
              <w:rPr>
                <w:rFonts w:hint="default" w:ascii="Times New Roman" w:hAnsi="Times New Roman" w:cs="Times New Roman" w:eastAsiaTheme="minorEastAsia"/>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cs="Times New Roman"/>
                <w:sz w:val="24"/>
                <w:szCs w:val="24"/>
              </w:rPr>
            </w:pPr>
            <w:r>
              <w:rPr>
                <w:rFonts w:hint="default" w:ascii="Times New Roman" w:hAnsi="Times New Roman" w:cs="Times New Roman"/>
                <w:sz w:val="24"/>
                <w:szCs w:val="24"/>
              </w:rPr>
              <w:t>学校简介和</w:t>
            </w:r>
          </w:p>
          <w:p>
            <w:pPr>
              <w:spacing w:line="580" w:lineRule="exact"/>
              <w:jc w:val="center"/>
              <w:rPr>
                <w:rFonts w:hint="default" w:ascii="Times New Roman" w:hAnsi="Times New Roman" w:cs="Times New Roman"/>
                <w:sz w:val="24"/>
                <w:szCs w:val="24"/>
              </w:rPr>
            </w:pPr>
            <w:r>
              <w:rPr>
                <w:rFonts w:hint="default" w:ascii="Times New Roman" w:hAnsi="Times New Roman" w:cs="Times New Roman"/>
                <w:sz w:val="24"/>
                <w:szCs w:val="24"/>
              </w:rPr>
              <w:t>历史沿革</w:t>
            </w:r>
          </w:p>
          <w:p>
            <w:pPr>
              <w:spacing w:line="580" w:lineRule="exact"/>
              <w:jc w:val="center"/>
              <w:rPr>
                <w:rFonts w:hint="default" w:ascii="Times New Roman" w:hAnsi="Times New Roman" w:eastAsia="黑体" w:cs="Times New Roman"/>
                <w:sz w:val="24"/>
                <w:szCs w:val="24"/>
              </w:rPr>
            </w:pPr>
            <w:r>
              <w:rPr>
                <w:rFonts w:hint="default" w:ascii="Times New Roman" w:hAnsi="Times New Roman" w:cs="Times New Roman"/>
                <w:sz w:val="24"/>
                <w:szCs w:val="24"/>
              </w:rPr>
              <w:t>（300字以内）</w:t>
            </w:r>
          </w:p>
        </w:tc>
        <w:tc>
          <w:tcPr>
            <w:tcW w:w="6932"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江西开放大学是江西人民政府直属的，以促进终身学习为使命、以现代信息技术为支撑、以“互联网+”为特征、以系统办学为依托的新型高等学校。学校的前身是1979年1月创建的江西广播电视大学。2020年11月26日，江西省人民政府正式批准江西广播电视大学更名为江西开放大学。作为新型高等学校，学校由“大学+系统+平台”构成。“十三五”期间学历教育累计招生40余万人，为江西经济社会发展作出了积极贡献。建立了一支274人的高素质专业技术人员队伍，其中研究生学历或硕士学位以上163人，正高职称15人，副高职称73人。多项科研成果分别获得省社科成果奖、省教育科学优秀成果奖、省级教学成果奖、国家开放大学体系优秀科研成果奖一、二、三等奖，多名教师获得国家开放大学体系“科研贡献奖”和“青年学术新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rPr>
            </w:pPr>
          </w:p>
        </w:tc>
      </w:tr>
    </w:tbl>
    <w:p>
      <w:pPr>
        <w:spacing w:afterLines="50" w:line="580" w:lineRule="exact"/>
        <w:jc w:val="center"/>
        <w:rPr>
          <w:rFonts w:ascii="Times New Roman" w:hAnsi="Times New Roman" w:eastAsia="黑体"/>
          <w:sz w:val="32"/>
          <w:szCs w:val="32"/>
        </w:rPr>
      </w:pPr>
      <w:r>
        <w:rPr>
          <w:rFonts w:eastAsia="黑体"/>
          <w:sz w:val="24"/>
          <w:szCs w:val="24"/>
        </w:rPr>
        <w:br w:type="page"/>
      </w:r>
      <w:r>
        <w:rPr>
          <w:rFonts w:ascii="Times New Roman" w:hAnsi="Times New Roman" w:eastAsia="黑体"/>
          <w:sz w:val="32"/>
          <w:szCs w:val="32"/>
        </w:rPr>
        <w:t>3.增设专业的理由和基础</w:t>
      </w:r>
    </w:p>
    <w:tbl>
      <w:tblPr>
        <w:tblStyle w:val="13"/>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1" w:hRule="atLeast"/>
          <w:jc w:val="center"/>
        </w:trPr>
        <w:tc>
          <w:tcPr>
            <w:tcW w:w="90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化工行业是我省重要产业之一，经过半个多世纪的发展， 已经形成了以国有大中型企业为骨干，以农用化工、基本化工原料、橡胶加工、石油化工等以国有大中型企业为骨干， 以农用化工、基本化工原料、橡胶加工、石油化工等十几个行业为主体，化工科研、教育、设计、地质勘探、安装施工 相互配套的生产建设体系，为我省经济和社会发展做出了重要贡献。近几年来，随着新余市化工园区的开工投产，带动了工程塑料、功能性膜材料、聚氨酯材料、热塑性弹性体、 特种橡胶、新型涂料、电子化学品、3D打印材料、高性能纤维等下游千亿元的新兴产业，也为我省高端精细化学品、新材料以及化工物流、化工装备制造等产业带来10万个就业岗位。大型化工项目的带动，一批新项目、新企业的相继诞生，这些都蕴藏着巨大的化工技术类人才需求；同时，随着企业的深化改革和转型升级，许多一线技术工人因年龄偏大，给企业发展提出了新的难题，未来几年各类化工企业将会面临技术工人断档的困境。市场决定需求，全市乃至全国对适应产业转型升级的应用化技术方面的高技能人才需求必将更加旺盛。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研发领域，由于化工产业的发展趋势以及外资企业科研本土化的进行，使得化工企业对研发技术人员也有热捧趋势。一位从业人员介绍说，“原先化工行业中许多中小企业并不重视研发，仅依靠仿制来扩大自己的产品增量，销售终端获得利润。如此模式虽然在短期内回报率较高，却并非长久之计，尤其是如今市场的转变和一些列政策的出台，使得新产品的研发成为企业生存、发展的必经之路。” 当以企业为主体、科研院所为支撑、市场为导向、产品为核心、产学研相结合的医药创新体系的逐步建立，企业新产品的研发将起到核心作用。而从整个行业来看，国内化工企业普遍技术创新动力不足，这将对中国化工制造业的发展产生极为不利的影响。在与外资企业的对抗中，将落下风。要扭转这样的状况，加大研发技术类人员的投入与培养是当务之急。除了在新技术的研发之外，企业对于环保、节能减排和能源管理、资源综合利用也将加大力度，相关领域的从业人员将成为化工行业的香饽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一、应用化工技术专业的社会需求与生源分析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1、社会需求量大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过调研，发现省内化工相关岗位人才需求数量较大，近40%的化工企业需要一线化工操作人员。此外自动化仪表控制、设备管理与维护、化学分析经过调研，发现湖北省内化工相关岗位人才需求数量较大，近40%的化工企业需要一线化工操作人员。此外自动化仪表控制、设备管理与维护、化学分析与检验、品质管理、产品销售等岗位每年也需求一定数量的人员。随着产业结构的调整和先进生产工艺、高科技产品、新型装备的不断应用，以及信息化程度的提高，企业对生产一线技术工人的技术能力、复合能力及综合素质提出了新的要求，亟需大批高端的具有良好理论基础、实践能力和创新能力的高素质技术技能型人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调研结果同时表明，自动化技术的广泛应用使得大量的手工劳动已被机器替代，传统的简单操作性技能人才需要量越来越少，与此同时，设备安装、调试、维修的难度则越来越大，对操作者技术知识要求越来越高，增大了企业对技术管理、节能降耗、安全环保等人才的需求。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因此</w:t>
            </w:r>
            <w:r>
              <w:rPr>
                <w:rFonts w:hint="eastAsia" w:ascii="宋体" w:hAnsi="宋体" w:eastAsia="宋体" w:cs="宋体"/>
                <w:sz w:val="24"/>
                <w:szCs w:val="24"/>
                <w:highlight w:val="none"/>
                <w:lang w:val="en-US" w:eastAsia="zh-CN"/>
              </w:rPr>
              <w:t>，成人教育要培养出</w:t>
            </w:r>
            <w:r>
              <w:rPr>
                <w:rFonts w:hint="eastAsia" w:ascii="宋体" w:hAnsi="宋体" w:eastAsia="宋体" w:cs="宋体"/>
                <w:sz w:val="24"/>
                <w:szCs w:val="24"/>
                <w:lang w:val="en-US" w:eastAsia="zh-CN"/>
              </w:rPr>
              <w:t>适应地方经济发展需求、适应规模化的现代化工企业技术升级的需要、具有创新能力的毕业生，就必须让学生具有扎实的理论知识、熟练的操作技能、较强的创新能力和可持续性发展能力，这样才能使毕业生在工作中熟练运用技能，展开跨领域协作，解决生产性操作难题，适应企业创新发展，同时，自己也能在激烈的就业竞争中立于不败之地。</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2、生源有充分保证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业人才需求火热，不少企业，尤其是规模较大的跨国与本土企业越来越重视校园招聘。技术人员收入相比之下要高一些，但技术专家收入稳定、社会地位高，再加上专业对口的关系，众多技术人才专业毕业生宁愿以入门时较低的薪水来换一份稳定的职业。企业愿意通过校园招聘，招募合格、 有潜质的毕业生，从而培养新人，达到人才储备、缓解人才紧缺的目的。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综合考虑应用化工行业人才的市场缺口，同时结合招生情况及需求，未来3年专科应用化工技术专业预期招生规模为：2023年300人、2024年500人、2025年700人。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二、开设</w:t>
            </w:r>
            <w:r>
              <w:rPr>
                <w:rFonts w:hint="eastAsia" w:ascii="宋体" w:hAnsi="宋体" w:eastAsia="宋体" w:cs="宋体"/>
                <w:b/>
                <w:bCs/>
                <w:sz w:val="24"/>
                <w:szCs w:val="24"/>
                <w:lang w:val="en-US" w:eastAsia="zh-CN"/>
              </w:rPr>
              <w:t>应用化工技术</w:t>
            </w:r>
            <w:r>
              <w:rPr>
                <w:rFonts w:hint="eastAsia" w:ascii="宋体" w:hAnsi="宋体" w:eastAsia="宋体" w:cs="宋体"/>
                <w:b/>
                <w:bCs/>
                <w:sz w:val="24"/>
                <w:szCs w:val="24"/>
              </w:rPr>
              <w:t>专业的可行性分析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1、师资情况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过30余年的发展，江西开放大学已拥有一支富有开放教育教学经验的教师队伍，本专业拥有专职教师5人，其中，教授1人，讲师4人。此外，学校还在政府、学界和业界聘请了与专业建设、运行与发展密切相关的多名客座教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2、已有课程资源基础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在该专业开设的</w:t>
            </w:r>
            <w:r>
              <w:rPr>
                <w:rFonts w:hint="eastAsia" w:ascii="宋体" w:hAnsi="宋体" w:cs="宋体"/>
                <w:sz w:val="24"/>
                <w:szCs w:val="24"/>
                <w:lang w:val="en-US" w:eastAsia="zh-CN"/>
              </w:rPr>
              <w:t>33</w:t>
            </w:r>
            <w:r>
              <w:rPr>
                <w:rFonts w:hint="eastAsia" w:ascii="宋体" w:hAnsi="宋体" w:eastAsia="宋体" w:cs="宋体"/>
                <w:sz w:val="24"/>
                <w:szCs w:val="24"/>
                <w:lang w:val="en-US" w:eastAsia="zh-CN"/>
              </w:rPr>
              <w:t>门课程中，有</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门课程为开设多年的公共课程或专业基础课程，师资力量雄厚，课程资源丰富，规范性和适用性强，具有坚实的课程共享基础。本专业包含纸质图书200余册，数字图书8000余册；拥有超星移动教学平台，学生可以通过移动终端设备，24小时不间断学习。此外，还有音视频素材、教学课件、案例库等，形式多样、种类齐全的教学资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3、新建课程资源优势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在应用化工技术开设的</w:t>
            </w:r>
            <w:r>
              <w:rPr>
                <w:rFonts w:hint="eastAsia" w:ascii="宋体" w:hAnsi="宋体" w:cs="宋体"/>
                <w:sz w:val="24"/>
                <w:szCs w:val="24"/>
                <w:lang w:val="en-US" w:eastAsia="zh-CN"/>
              </w:rPr>
              <w:t>33</w:t>
            </w:r>
            <w:r>
              <w:rPr>
                <w:rFonts w:hint="eastAsia" w:ascii="宋体" w:hAnsi="宋体" w:eastAsia="宋体" w:cs="宋体"/>
                <w:sz w:val="24"/>
                <w:szCs w:val="24"/>
                <w:lang w:val="en-US" w:eastAsia="zh-CN"/>
              </w:rPr>
              <w:t>门课程中，有</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门课程为新建课程资源。其中必修课</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门，拓展课2门，综合实践课程为2门。这些课程资源的建设可以通过以下途径快速高效地实现。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借鉴、合作或改造。目前，国家开放大学和国内相关大学已开设应用化工技术专业密切相关的课程，我们可以通过借鉴、合作等方式，对上述相关课程予以整合改造，以适应远程开放教育和成人学习的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专家团队运作。充分发挥开大系统运作的管理优势，整合开大系统内外的相关教师资源，以课程项目负责人制的方式开发和建设相关课程资源，从而发挥集群合作攻关的力量，达到优质课程资源的快速开发和有效整合，实现共建共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（3）与行业合作共建。通过合作共建共享的方式，可以很好地转化为有效的专业课程资源。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4、专业实践条件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应用化工技术专业是一门应用性很强的专业，远程开放教育系统能为应用化工技术专业的实习、实训、实验提供良好的条件。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一，在专业课程结构中确保实践教学的数量和质量；其二，共享已有的相关专业实践基地；其三，远程开放教育的学习者大多数是在岗学习，与生产实践结合紧密的成人群体；其四，通过校企合作、共建共享的模式可以拓展和完善专业实践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三、发展规划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未来的3-5年，我们将紧扣江西地方特色和应用化工发展走势，聚焦人才市场需求，积极探索应用化工技术专业人才培养模式改革。强化专业内涵建设，力争通过错位竞争的优势和高质量的专业建设水平，将应用化工技术专业打造成成人教育的特色专业。</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bookmarkStart w:id="1" w:name="_Toc495304331"/>
            <w:r>
              <w:rPr>
                <w:rFonts w:hint="eastAsia" w:ascii="宋体" w:hAnsi="宋体" w:eastAsia="宋体" w:cs="宋体"/>
                <w:b/>
                <w:bCs/>
                <w:sz w:val="24"/>
                <w:szCs w:val="24"/>
                <w:lang w:val="en-US" w:eastAsia="zh-CN"/>
              </w:rPr>
              <w:t>1、专业建设目标定位</w:t>
            </w:r>
            <w:bookmarkEnd w:id="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江西地区应用化工用人市场需求和专业人才标准，高起点规划、高标准投入、高要求建设，强化应用化工技术专业的内涵建设，力争使之成为具有江西省区域特色的应用化工技术专业人才培养平台，做出区域特点和产业亮点，形成经济特色和全省品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bookmarkStart w:id="2" w:name="_Toc495304332"/>
            <w:r>
              <w:rPr>
                <w:rFonts w:hint="eastAsia" w:ascii="宋体" w:hAnsi="宋体" w:eastAsia="宋体" w:cs="宋体"/>
                <w:b/>
                <w:bCs/>
                <w:sz w:val="24"/>
                <w:szCs w:val="24"/>
                <w:lang w:val="en-US" w:eastAsia="zh-CN"/>
              </w:rPr>
              <w:t>2、强化专业内涵建设</w:t>
            </w:r>
            <w:bookmarkEnd w:id="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以专业课程建设为龙头，以精品课程建设为重心，以教学团队建设为抓手，以课程建设项目为载体，以强化专业内涵建设为宗旨，切实提升专业建设的整体水平，力争创建特色专业。</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3、坚持以教学为中心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建设新专业为契机，进一步强化以教学为中心的办学理念，确保专业建设政策到位、投入到位、管理到位和保障到位，形成领导重视、教师用心、科研反哺和舆论导向教学，促进应用化工技术专业教学水平不断提升的良好氛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bookmarkStart w:id="3" w:name="_Toc495304334"/>
            <w:r>
              <w:rPr>
                <w:rFonts w:hint="eastAsia" w:ascii="宋体" w:hAnsi="宋体" w:eastAsia="宋体" w:cs="宋体"/>
                <w:b/>
                <w:bCs/>
                <w:sz w:val="24"/>
                <w:szCs w:val="24"/>
                <w:lang w:val="en-US" w:eastAsia="zh-CN"/>
              </w:rPr>
              <w:t>4、不断优化师资结构</w:t>
            </w:r>
            <w:bookmarkEnd w:id="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是专业人才培养的主体，是人才培养质量的重要保证，专业建设尤其要重视师资队伍的建设。我们将按照特色专业和一流专业建设的要求，从年龄、学历、学科背景、发展方向等方面来优化师资结构水平，通过在职进修提升现有教师水平，同时，注重校内教师与企业导师的合作管理，充分发挥“二元制”下的校企师资联动作用，提高师资队伍服务成人教育教学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5、积极推进教学创新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国家中长期教育改革和发展规划纲要（2010－2020年）》关于高等教育和人才培养体制改革的精神，深化教育教学改革，创新教育教学方法，探索多种培养方式，如注重学思结合、知行统一和注重因材施教。紧紧围绕专业人才培养标准，推进课程与教学改革，创新人才培养模式，如优化专业人才素质结构、优化专业课程结构、探索新型教学方式和教学方法、丰富多种媒体教学资源、转变教师角色，引导学生自主学习、夯实专业实践基地建设，改革专业实践能力培养方式等，通过教学创新来落实人才培养模式创新，促进专业建设的发展。</w:t>
            </w:r>
          </w:p>
          <w:p>
            <w:pPr>
              <w:spacing w:line="360" w:lineRule="auto"/>
              <w:ind w:firstLine="480" w:firstLineChars="200"/>
              <w:rPr>
                <w:rFonts w:hint="default" w:ascii="宋体" w:hAnsi="宋体" w:eastAsia="宋体" w:cs="宋体"/>
                <w:sz w:val="24"/>
                <w:szCs w:val="24"/>
                <w:lang w:val="en-US" w:eastAsia="zh-CN"/>
              </w:rPr>
            </w:pPr>
          </w:p>
        </w:tc>
      </w:tr>
    </w:tbl>
    <w:p>
      <w:pPr>
        <w:spacing w:afterLines="50" w:line="580" w:lineRule="exact"/>
        <w:jc w:val="center"/>
        <w:rPr>
          <w:rFonts w:ascii="Times New Roman" w:hAnsi="Times New Roman" w:eastAsia="黑体"/>
          <w:bCs/>
          <w:spacing w:val="20"/>
          <w:sz w:val="44"/>
          <w:szCs w:val="24"/>
        </w:rPr>
      </w:pPr>
      <w:r>
        <w:rPr>
          <w:b/>
          <w:bCs/>
          <w:sz w:val="32"/>
          <w:szCs w:val="24"/>
        </w:rPr>
        <w:br w:type="page"/>
      </w:r>
      <w:r>
        <w:rPr>
          <w:rFonts w:ascii="Times New Roman" w:hAnsi="Times New Roman" w:eastAsia="黑体"/>
          <w:bCs/>
          <w:sz w:val="32"/>
          <w:szCs w:val="24"/>
        </w:rPr>
        <w:t>4.增设专业人才培养方案</w:t>
      </w:r>
    </w:p>
    <w:tbl>
      <w:tblPr>
        <w:tblStyle w:val="1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820" w:type="dxa"/>
            <w:tcBorders>
              <w:top w:val="single" w:color="auto" w:sz="4" w:space="0"/>
              <w:left w:val="single" w:color="auto" w:sz="4" w:space="0"/>
              <w:bottom w:val="single" w:color="auto" w:sz="4" w:space="0"/>
              <w:right w:val="single" w:color="auto" w:sz="4" w:space="0"/>
            </w:tcBorders>
          </w:tcPr>
          <w:p>
            <w:pPr>
              <w:spacing w:line="420" w:lineRule="exact"/>
              <w:rPr>
                <w:szCs w:val="21"/>
              </w:rPr>
            </w:pPr>
            <w:r>
              <w:rPr>
                <w:rFonts w:hint="eastAsia"/>
                <w:szCs w:val="21"/>
              </w:rPr>
              <w:t>包括培养目标、基本要求（素质要求、能力要求、知识结构要求）、修业年限、主干学科、主要课程、主要实践性教学环节和主要专业实验、</w:t>
            </w:r>
            <w:r>
              <w:rPr>
                <w:rFonts w:hint="eastAsia"/>
                <w:bCs/>
                <w:szCs w:val="21"/>
              </w:rPr>
              <w:t>教学计划等内容</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一、培养目标与培养要求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（一）培养目标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本专业全面贯彻党的教育方针，落实立德树人根本任务，培养德智体美劳全面发展的社会主义事业的建设者和接班人，不断提高学生思想水平、政治觉悟、道德品质、文化素养，按照应用型人才培养标准，紧贴市场、紧贴产业、紧贴职业、服务江西经济社会发展和产业转型和实体经济升级需求，使之适应</w:t>
            </w:r>
            <w:r>
              <w:rPr>
                <w:rFonts w:hint="eastAsia" w:ascii="宋体" w:hAnsi="宋体" w:eastAsia="宋体" w:cs="宋体"/>
                <w:color w:val="000000"/>
                <w:sz w:val="24"/>
                <w:szCs w:val="24"/>
                <w:lang w:val="en-US" w:eastAsia="zh-CN"/>
              </w:rPr>
              <w:t>各类化工企业自动化仪表控制、设备管理与维护、化学分析等岗位</w:t>
            </w:r>
            <w:r>
              <w:rPr>
                <w:rFonts w:hint="eastAsia" w:ascii="宋体" w:hAnsi="宋体" w:eastAsia="宋体" w:cs="宋体"/>
                <w:color w:val="000000"/>
                <w:sz w:val="24"/>
                <w:szCs w:val="24"/>
              </w:rPr>
              <w:t>，具有</w:t>
            </w:r>
            <w:r>
              <w:rPr>
                <w:rFonts w:hint="eastAsia" w:ascii="宋体" w:hAnsi="宋体" w:eastAsia="宋体" w:cs="宋体"/>
                <w:color w:val="000000"/>
                <w:sz w:val="24"/>
                <w:szCs w:val="24"/>
                <w:lang w:val="en-US" w:eastAsia="zh-CN"/>
              </w:rPr>
              <w:t>化学基础、化工单元操作、化学反应过程及设备、化工产品生产、化工常用设备与控制、化工安全与环保等基本知识，具备典型化工生产单元操作、 化工工艺运行与控制、生产工艺管理等能力</w:t>
            </w:r>
            <w:r>
              <w:rPr>
                <w:rFonts w:hint="eastAsia" w:ascii="宋体" w:hAnsi="宋体" w:eastAsia="宋体" w:cs="宋体"/>
                <w:color w:val="000000"/>
                <w:sz w:val="24"/>
                <w:szCs w:val="24"/>
              </w:rPr>
              <w:t>，能适应企业一线工作</w:t>
            </w:r>
            <w:r>
              <w:rPr>
                <w:rFonts w:hint="eastAsia" w:ascii="宋体" w:hAnsi="宋体" w:eastAsia="宋体" w:cs="宋体"/>
                <w:color w:val="000000"/>
                <w:sz w:val="24"/>
                <w:szCs w:val="24"/>
                <w:lang w:val="en-US" w:eastAsia="zh-CN"/>
              </w:rPr>
              <w:t>从事化工生产操作与控制等工作</w:t>
            </w:r>
            <w:r>
              <w:rPr>
                <w:rFonts w:hint="eastAsia" w:ascii="宋体" w:hAnsi="宋体" w:eastAsia="宋体" w:cs="宋体"/>
                <w:color w:val="000000"/>
                <w:sz w:val="24"/>
                <w:szCs w:val="24"/>
              </w:rPr>
              <w:t>岗位需求的技术技能型人才。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（二）培养要求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1.素质要求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(1)思想政治素质：具有正确的世界观、人生观、价值观。坚决拥护中国共产党领导，树立中国特色社会主义共同理想，践行社会主义核心价值观，具有爱国情感、国家认同感、中华民族自豪感，遵守法律，遵规守纪，具有良好的思想品德、社会公德和职业道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(2)身心素质：具有良好的身体素质和心理素质，能精力充沛地工作。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(3)文化素质：具有良好的文化修养。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(4)专业素质：具有良好</w:t>
            </w:r>
            <w:r>
              <w:rPr>
                <w:rFonts w:hint="eastAsia" w:ascii="宋体" w:hAnsi="宋体" w:eastAsia="宋体" w:cs="宋体"/>
                <w:color w:val="000000"/>
                <w:sz w:val="24"/>
                <w:szCs w:val="24"/>
                <w:lang w:val="en-US" w:eastAsia="zh-CN"/>
              </w:rPr>
              <w:t>的化工基础知识和实用技术</w:t>
            </w:r>
            <w:r>
              <w:rPr>
                <w:rFonts w:hint="eastAsia" w:ascii="宋体" w:hAnsi="宋体" w:eastAsia="宋体" w:cs="宋体"/>
                <w:color w:val="000000"/>
                <w:sz w:val="24"/>
                <w:szCs w:val="24"/>
              </w:rPr>
              <w:t>职业素养</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掌握</w:t>
            </w:r>
            <w:r>
              <w:rPr>
                <w:rFonts w:hint="eastAsia" w:ascii="宋体" w:hAnsi="宋体" w:eastAsia="宋体" w:cs="宋体"/>
                <w:color w:val="000000"/>
                <w:sz w:val="24"/>
                <w:szCs w:val="24"/>
                <w:lang w:val="en-US" w:eastAsia="zh-CN"/>
              </w:rPr>
              <w:t>化工岗位生产操作技能和相关岗位的</w:t>
            </w:r>
            <w:r>
              <w:rPr>
                <w:rFonts w:hint="eastAsia" w:ascii="宋体" w:hAnsi="宋体" w:eastAsia="宋体" w:cs="宋体"/>
                <w:color w:val="000000"/>
                <w:sz w:val="24"/>
                <w:szCs w:val="24"/>
              </w:rPr>
              <w:t>基本理论和基本方法</w:t>
            </w:r>
            <w:r>
              <w:rPr>
                <w:rFonts w:hint="eastAsia" w:ascii="宋体" w:hAnsi="宋体" w:eastAsia="宋体" w:cs="宋体"/>
                <w:color w:val="000000"/>
                <w:sz w:val="24"/>
                <w:szCs w:val="24"/>
                <w:lang w:val="en-US" w:eastAsia="zh-CN"/>
              </w:rPr>
              <w:t>；具备</w:t>
            </w:r>
            <w:r>
              <w:rPr>
                <w:rFonts w:hint="eastAsia" w:ascii="宋体" w:hAnsi="宋体" w:eastAsia="宋体" w:cs="宋体"/>
                <w:color w:val="000000"/>
                <w:sz w:val="24"/>
                <w:szCs w:val="24"/>
              </w:rPr>
              <w:t>从事</w:t>
            </w:r>
            <w:r>
              <w:rPr>
                <w:rFonts w:hint="eastAsia" w:ascii="宋体" w:hAnsi="宋体" w:eastAsia="宋体" w:cs="宋体"/>
                <w:color w:val="000000"/>
                <w:sz w:val="24"/>
                <w:szCs w:val="24"/>
                <w:lang w:val="en-US" w:eastAsia="zh-CN"/>
              </w:rPr>
              <w:t>化工产品质量管理和产品质量检测的</w:t>
            </w:r>
            <w:r>
              <w:rPr>
                <w:rFonts w:hint="eastAsia" w:ascii="宋体" w:hAnsi="宋体" w:eastAsia="宋体" w:cs="宋体"/>
                <w:color w:val="000000"/>
                <w:sz w:val="24"/>
                <w:szCs w:val="24"/>
              </w:rPr>
              <w:t>相关职业岗位技能</w:t>
            </w:r>
            <w:r>
              <w:rPr>
                <w:rFonts w:hint="eastAsia" w:ascii="宋体" w:hAnsi="宋体" w:eastAsia="宋体" w:cs="宋体"/>
                <w:color w:val="000000"/>
                <w:sz w:val="24"/>
                <w:szCs w:val="24"/>
                <w:lang w:val="en-US" w:eastAsia="zh-CN"/>
              </w:rPr>
              <w:t>能力，能取得化工总控工、有机合成工、化学检验工、蒸馏工、苦卤综合利用工职业资格证书</w:t>
            </w:r>
            <w:r>
              <w:rPr>
                <w:rFonts w:hint="eastAsia" w:ascii="宋体" w:hAnsi="宋体" w:eastAsia="宋体" w:cs="宋体"/>
                <w:color w:val="000000"/>
                <w:sz w:val="24"/>
                <w:szCs w:val="24"/>
              </w:rPr>
              <w:t>，能适应</w:t>
            </w:r>
            <w:r>
              <w:rPr>
                <w:rFonts w:hint="eastAsia" w:ascii="宋体" w:hAnsi="宋体" w:eastAsia="宋体" w:cs="宋体"/>
                <w:color w:val="000000"/>
                <w:sz w:val="24"/>
                <w:szCs w:val="24"/>
                <w:lang w:val="en-US" w:eastAsia="zh-CN"/>
              </w:rPr>
              <w:t>从事化工生产操作与控制等</w:t>
            </w:r>
            <w:r>
              <w:rPr>
                <w:rFonts w:hint="eastAsia" w:ascii="宋体" w:hAnsi="宋体" w:eastAsia="宋体" w:cs="宋体"/>
                <w:color w:val="000000"/>
                <w:sz w:val="24"/>
                <w:szCs w:val="24"/>
              </w:rPr>
              <w:t>工作岗位需求。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2.知识要求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(1)掌握高级职业技术人员所必需的文化基础知识和本专业的理论基础知识。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(2)掌握零部件图、化工工艺流程图和设备布置图等化工制图的知识和技能，能够胜任化工岗位识图、绘图、设计等工作。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(3)掌握检验分析的基本理论和基本操作的方法，能够选择合适的检验分析方法完成原料和产品分析和检验工作。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(4)掌握常用化工单元操作过程的原理、设备和操作。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(5)掌握掌握本专业要求的化工仪表及自动化知识，借助相应仪器设备，完成选用使用化工生产过程中的检测仪表、独立设计简单的自动化控制方案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了解化工自动化的基本知识、完 数整定等工作。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(6)掌握本专业要求的化工设备知识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3.能力要求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(1)具备完成主要化工操作岗位的运行、操作、检修和维护工作的能力。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(2)掌握主要化工产品的生产工艺。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具备化工产品质量管理和产品质量的检测能力</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能取得化工总控工、有机合成工、化学检验工、蒸馏工、苦卤综合利用工职业资格证书</w:t>
            </w:r>
            <w:r>
              <w:rPr>
                <w:rFonts w:hint="eastAsia" w:ascii="宋体" w:hAnsi="宋体" w:eastAsia="宋体" w:cs="宋体"/>
                <w:color w:val="000000"/>
                <w:sz w:val="24"/>
                <w:szCs w:val="24"/>
              </w:rPr>
              <w:t>。</w:t>
            </w:r>
          </w:p>
          <w:p>
            <w:pPr>
              <w:ind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4.职业能力</w:t>
            </w:r>
          </w:p>
          <w:p>
            <w:pPr>
              <w:ind w:firstLine="480" w:firstLineChars="200"/>
              <w:outlineLvl w:val="2"/>
              <w:rPr>
                <w:rFonts w:hint="eastAsia" w:ascii="宋体" w:hAnsi="宋体" w:eastAsia="宋体" w:cs="宋体"/>
                <w:color w:val="000000"/>
                <w:sz w:val="24"/>
                <w:szCs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195"/>
              <w:gridCol w:w="1276"/>
              <w:gridCol w:w="2410"/>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195"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行业名称</w:t>
                  </w:r>
                </w:p>
              </w:tc>
              <w:tc>
                <w:tcPr>
                  <w:tcW w:w="1276"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职业岗位</w:t>
                  </w:r>
                </w:p>
              </w:tc>
              <w:tc>
                <w:tcPr>
                  <w:tcW w:w="2410"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岗位描述</w:t>
                  </w:r>
                </w:p>
              </w:tc>
              <w:tc>
                <w:tcPr>
                  <w:tcW w:w="2914"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核心技能与素养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195"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化工制图</w:t>
                  </w:r>
                </w:p>
              </w:tc>
              <w:tc>
                <w:tcPr>
                  <w:tcW w:w="1276"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制图员、识图员、设计助理</w:t>
                  </w:r>
                </w:p>
              </w:tc>
              <w:tc>
                <w:tcPr>
                  <w:tcW w:w="2410" w:type="dxa"/>
                </w:tcPr>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1.化工生产工艺流程识图</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2.化工生产工艺流程制图</w:t>
                  </w:r>
                </w:p>
              </w:tc>
              <w:tc>
                <w:tcPr>
                  <w:tcW w:w="2914"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1.能识读工艺流程图图；</w:t>
                  </w:r>
                </w:p>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2.能识读生产装备图；</w:t>
                  </w:r>
                </w:p>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3.能绘制简单零部件图；</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4.能绘制机械总成和部件装备图</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195"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煤质检验</w:t>
                  </w:r>
                </w:p>
              </w:tc>
              <w:tc>
                <w:tcPr>
                  <w:tcW w:w="1276"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煤质检验员</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煤质分析员</w:t>
                  </w:r>
                </w:p>
              </w:tc>
              <w:tc>
                <w:tcPr>
                  <w:tcW w:w="2410"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1.煤质检验分析</w:t>
                  </w:r>
                </w:p>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制定计划并实施和评估</w:t>
                  </w:r>
                </w:p>
              </w:tc>
              <w:tc>
                <w:tcPr>
                  <w:tcW w:w="2914" w:type="dxa"/>
                </w:tcPr>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1.能够检测分析煤质成分，能够分析检测出煤原料中杂质成分及含量；</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2.能对煤质中各属性进行化验分析；</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3.能对煤产品中各属性进行化验分析；</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4.会填写工作记录单，会检查评估工作业绩。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195"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环境保护与检测</w:t>
                  </w:r>
                </w:p>
              </w:tc>
              <w:tc>
                <w:tcPr>
                  <w:tcW w:w="1276"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环境检测员</w:t>
                  </w:r>
                </w:p>
              </w:tc>
              <w:tc>
                <w:tcPr>
                  <w:tcW w:w="2410"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1.环境检测</w:t>
                  </w:r>
                </w:p>
                <w:p>
                  <w:pPr>
                    <w:outlineLvl w:val="2"/>
                    <w:rPr>
                      <w:rFonts w:hint="default" w:ascii="Times New Roman" w:hAnsi="Times New Roman" w:eastAsia="宋体" w:cs="Times New Roman"/>
                      <w:b/>
                      <w:bCs/>
                      <w:color w:val="auto"/>
                      <w:sz w:val="21"/>
                      <w:szCs w:val="21"/>
                    </w:rPr>
                  </w:pPr>
                  <w:r>
                    <w:rPr>
                      <w:rFonts w:hint="default" w:ascii="Times New Roman" w:hAnsi="Times New Roman" w:eastAsia="宋体" w:cs="Times New Roman"/>
                      <w:b w:val="0"/>
                      <w:bCs w:val="0"/>
                      <w:color w:val="auto"/>
                      <w:sz w:val="21"/>
                      <w:szCs w:val="21"/>
                    </w:rPr>
                    <w:t>2. 环境保护</w:t>
                  </w:r>
                </w:p>
              </w:tc>
              <w:tc>
                <w:tcPr>
                  <w:tcW w:w="2914" w:type="dxa"/>
                </w:tcPr>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1.能检测出粉尘等有毒有害物质的排放；</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2.能够检测出化学危险品、油品的泄露或挥发；</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3.能检测出生活或生产中污水的排放；</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4.能够自觉提高安全和质量管理意识，遵守劳动和环境保护规章制度；</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5.能清除回收利用垃圾、废品以及有害物质。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195"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化工设备维修与调试</w:t>
                  </w:r>
                </w:p>
              </w:tc>
              <w:tc>
                <w:tcPr>
                  <w:tcW w:w="1276"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化工设备维修、化工设备调试</w:t>
                  </w:r>
                </w:p>
              </w:tc>
              <w:tc>
                <w:tcPr>
                  <w:tcW w:w="2410" w:type="dxa"/>
                </w:tcPr>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1.化工设备维修</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 化工设备安装调试</w:t>
                  </w:r>
                </w:p>
              </w:tc>
              <w:tc>
                <w:tcPr>
                  <w:tcW w:w="2914" w:type="dxa"/>
                </w:tcPr>
                <w:p>
                  <w:pPr>
                    <w:outlineLvl w:val="2"/>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会使用各化工仪表与设备</w:t>
                  </w:r>
                  <w:r>
                    <w:rPr>
                      <w:rFonts w:hint="default" w:ascii="Times New Roman" w:hAnsi="Times New Roman" w:eastAsia="宋体" w:cs="Times New Roman"/>
                      <w:color w:val="auto"/>
                      <w:sz w:val="21"/>
                      <w:szCs w:val="21"/>
                      <w:lang w:eastAsia="zh-CN"/>
                    </w:rPr>
                    <w:t>；</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2能检查弄解决故障设备；</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3.能安装调试常用工具；</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4.能进行化工设备的安装与试车；</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5.会典型化工机械的安装于调试。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1195"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应用化工生产操作</w:t>
                  </w:r>
                </w:p>
              </w:tc>
              <w:tc>
                <w:tcPr>
                  <w:tcW w:w="1276" w:type="dxa"/>
                </w:tcPr>
                <w:p>
                  <w:pPr>
                    <w:outlineLvl w:val="2"/>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生产操作工</w:t>
                  </w:r>
                </w:p>
              </w:tc>
              <w:tc>
                <w:tcPr>
                  <w:tcW w:w="2410" w:type="dxa"/>
                </w:tcPr>
                <w:p>
                  <w:pP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工艺员</w:t>
                  </w:r>
                </w:p>
                <w:p>
                  <w:pPr>
                    <w:outlineLvl w:val="2"/>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技术员</w:t>
                  </w:r>
                </w:p>
                <w:p>
                  <w:pPr>
                    <w:outlineLvl w:val="2"/>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操作工</w:t>
                  </w:r>
                </w:p>
                <w:p>
                  <w:pPr>
                    <w:outlineLvl w:val="2"/>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eastAsia="zh-CN"/>
                    </w:rPr>
                    <w:t>主控工</w:t>
                  </w:r>
                </w:p>
                <w:p>
                  <w:pPr>
                    <w:outlineLvl w:val="2"/>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eastAsia="zh-CN"/>
                    </w:rPr>
                    <w:t>安全员</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lang w:eastAsia="zh-CN"/>
                    </w:rPr>
                    <w:t>分析员</w:t>
                  </w:r>
                </w:p>
              </w:tc>
              <w:tc>
                <w:tcPr>
                  <w:tcW w:w="2914" w:type="dxa"/>
                </w:tcPr>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1.能根据工艺方案、工艺流程组织车间工艺审核，设备、工装模具调配等；</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2.能负责分管区域现场的生产工艺操作等；</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3.能胜任总控操作：开车操作、运行操作和停车操作等；</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4.能负责组织作业环节</w:t>
                  </w: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"http://www.baidu.com/s?wd=%E9%A3%8E%E9%99%A9%E8%AF%86%E5%88%AB&amp;hl_tag=textlink&amp;tn=SE_hldp01350_v6v6zkg6"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color w:val="auto"/>
                      <w:sz w:val="21"/>
                      <w:szCs w:val="21"/>
                      <w:lang w:val="en-US" w:eastAsia="zh-CN"/>
                    </w:rPr>
                    <w:t>风险识别</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eastAsia="宋体" w:cs="Times New Roman"/>
                      <w:color w:val="auto"/>
                      <w:sz w:val="21"/>
                      <w:szCs w:val="21"/>
                      <w:lang w:val="en-US" w:eastAsia="zh-CN"/>
                    </w:rPr>
                    <w:t>和风险控制，制定安全防范措施等；</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5.能胜任化工安全防腐以及化工危险有害品的防护等；</w:t>
                  </w:r>
                </w:p>
                <w:p>
                  <w:pP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6.能做好内部实验仪器、设施、模具的保养工作，确保测试实验结果精确可靠等。</w:t>
                  </w:r>
                </w:p>
              </w:tc>
            </w:tr>
          </w:tbl>
          <w:p>
            <w:pPr>
              <w:ind w:firstLine="420" w:firstLineChars="200"/>
              <w:outlineLvl w:val="2"/>
              <w:rPr>
                <w:rFonts w:hint="default" w:ascii="Times New Roman" w:hAnsi="Times New Roman" w:eastAsia="宋体" w:cs="Times New Roman"/>
                <w:color w:val="000000"/>
                <w:sz w:val="21"/>
                <w:szCs w:val="21"/>
              </w:rPr>
            </w:pPr>
          </w:p>
          <w:p>
            <w:pPr>
              <w:ind w:firstLine="482" w:firstLineChars="200"/>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、培养规格</w:t>
            </w:r>
          </w:p>
          <w:p>
            <w:pPr>
              <w:ind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（一）修业年限：实行学分制，学员取得正式</w:t>
            </w:r>
            <w:r>
              <w:rPr>
                <w:rFonts w:hint="eastAsia" w:ascii="宋体" w:hAnsi="宋体" w:eastAsia="宋体" w:cs="宋体"/>
                <w:color w:val="auto"/>
                <w:sz w:val="24"/>
                <w:szCs w:val="24"/>
              </w:rPr>
              <w:t>学籍后</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年内所</w:t>
            </w:r>
            <w:r>
              <w:rPr>
                <w:rFonts w:hint="eastAsia" w:ascii="宋体" w:hAnsi="宋体" w:eastAsia="宋体" w:cs="宋体"/>
                <w:color w:val="000000"/>
                <w:sz w:val="24"/>
                <w:szCs w:val="24"/>
              </w:rPr>
              <w:t>修学分有效，最短学习年限不低于</w:t>
            </w:r>
            <w:r>
              <w:rPr>
                <w:rFonts w:hint="eastAsia" w:ascii="宋体" w:hAnsi="宋体" w:eastAsia="宋体" w:cs="宋体"/>
                <w:color w:val="auto"/>
                <w:sz w:val="24"/>
                <w:szCs w:val="24"/>
              </w:rPr>
              <w:t>2.5年</w:t>
            </w:r>
            <w:r>
              <w:rPr>
                <w:rFonts w:hint="eastAsia" w:ascii="宋体" w:hAnsi="宋体" w:eastAsia="宋体" w:cs="宋体"/>
                <w:color w:val="000000"/>
                <w:sz w:val="24"/>
                <w:szCs w:val="24"/>
              </w:rPr>
              <w:t>。</w:t>
            </w:r>
          </w:p>
          <w:p>
            <w:pPr>
              <w:ind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学员在有效年限内修完教学计划规定的课程，毕业鉴定符合要求颁发国家承认学历的专科毕业证书，毕业证书在中国高等教育学生信息网（学信网）电子注册。</w:t>
            </w:r>
          </w:p>
          <w:p>
            <w:pPr>
              <w:ind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二）学习形式：江西开放大学为学员配备“导学教师”，在企业设立学习中心，企业优秀管理或技术人员作为“企业导师”，与校内专业教师一起实现“双导师制”学习管理模式，共同组织学员线上、线下二元学习。</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（三）总学时学分：</w:t>
            </w:r>
            <w:r>
              <w:rPr>
                <w:rFonts w:hint="eastAsia" w:ascii="宋体" w:hAnsi="宋体" w:cs="宋体"/>
                <w:sz w:val="24"/>
                <w:szCs w:val="24"/>
                <w:lang w:val="en-US" w:eastAsia="zh-CN"/>
              </w:rPr>
              <w:t>1620</w:t>
            </w:r>
            <w:r>
              <w:rPr>
                <w:rFonts w:hint="eastAsia" w:ascii="宋体" w:hAnsi="宋体" w:eastAsia="宋体" w:cs="宋体"/>
                <w:sz w:val="24"/>
                <w:szCs w:val="24"/>
              </w:rPr>
              <w:t>学时，</w:t>
            </w:r>
            <w:r>
              <w:rPr>
                <w:rFonts w:hint="eastAsia" w:ascii="宋体" w:hAnsi="宋体" w:cs="宋体"/>
                <w:sz w:val="24"/>
                <w:szCs w:val="24"/>
                <w:lang w:val="en-US" w:eastAsia="zh-CN"/>
              </w:rPr>
              <w:t>90</w:t>
            </w:r>
            <w:r>
              <w:rPr>
                <w:rFonts w:hint="eastAsia" w:ascii="宋体" w:hAnsi="宋体" w:eastAsia="宋体" w:cs="宋体"/>
                <w:sz w:val="24"/>
                <w:szCs w:val="24"/>
              </w:rPr>
              <w:t>学分</w:t>
            </w:r>
          </w:p>
          <w:p>
            <w:pPr>
              <w:ind w:firstLine="480" w:firstLineChars="200"/>
              <w:rPr>
                <w:rFonts w:hint="eastAsia" w:ascii="宋体" w:hAnsi="宋体" w:eastAsia="宋体" w:cs="宋体"/>
                <w:sz w:val="24"/>
                <w:szCs w:val="24"/>
              </w:rPr>
            </w:pPr>
          </w:p>
          <w:p>
            <w:pPr>
              <w:ind w:firstLine="482" w:firstLineChars="200"/>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、课程体系说明</w:t>
            </w:r>
          </w:p>
          <w:p>
            <w:pPr>
              <w:autoSpaceDE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（一）课程模块设置</w:t>
            </w:r>
          </w:p>
          <w:p>
            <w:pPr>
              <w:autoSpaceDE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本专业共设置7个模块，分别是思想政治理论课、公共基础课、专业基础课、专业课、通识课、企业特色课、技能实践课。</w:t>
            </w:r>
          </w:p>
          <w:p>
            <w:pPr>
              <w:autoSpaceDE w:val="0"/>
              <w:ind w:firstLine="480" w:firstLineChars="200"/>
              <w:rPr>
                <w:rFonts w:hint="eastAsia" w:ascii="宋体" w:hAnsi="宋体" w:eastAsia="宋体" w:cs="宋体"/>
                <w:color w:val="000000"/>
                <w:sz w:val="24"/>
                <w:szCs w:val="24"/>
              </w:rPr>
            </w:pPr>
            <w:r>
              <w:rPr>
                <w:rFonts w:hint="eastAsia" w:ascii="宋体" w:hAnsi="宋体" w:eastAsia="宋体" w:cs="宋体"/>
                <w:color w:val="auto"/>
                <w:sz w:val="24"/>
                <w:szCs w:val="24"/>
                <w:lang w:val="zh-TW"/>
              </w:rPr>
              <w:t>（二）课程结构体系</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2703"/>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4"/>
                </w:tcPr>
                <w:p>
                  <w:pPr>
                    <w:autoSpaceDE w:val="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zh-TW"/>
                    </w:rPr>
                    <w:t>课程教学安排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restart"/>
                </w:tcPr>
                <w:p>
                  <w:pPr>
                    <w:autoSpaceDE w:val="0"/>
                    <w:jc w:val="center"/>
                    <w:rPr>
                      <w:rFonts w:hint="default" w:ascii="Times New Roman" w:hAnsi="Times New Roman" w:eastAsia="宋体" w:cs="Times New Roman"/>
                      <w:color w:val="000000"/>
                      <w:sz w:val="21"/>
                      <w:szCs w:val="21"/>
                      <w:highlight w:val="none"/>
                    </w:rPr>
                  </w:pPr>
                </w:p>
                <w:p>
                  <w:pPr>
                    <w:autoSpaceDE w:val="0"/>
                    <w:jc w:val="center"/>
                    <w:rPr>
                      <w:rFonts w:hint="default" w:ascii="Times New Roman" w:hAnsi="Times New Roman" w:eastAsia="宋体" w:cs="Times New Roman"/>
                      <w:color w:val="000000"/>
                      <w:sz w:val="21"/>
                      <w:szCs w:val="21"/>
                      <w:highlight w:val="none"/>
                    </w:rPr>
                  </w:pPr>
                </w:p>
                <w:p>
                  <w:pPr>
                    <w:autoSpaceDE w:val="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教学模式</w:t>
                  </w:r>
                </w:p>
              </w:tc>
              <w:tc>
                <w:tcPr>
                  <w:tcW w:w="2703" w:type="dxa"/>
                </w:tcPr>
                <w:p>
                  <w:pPr>
                    <w:autoSpaceDE w:val="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项目</w:t>
                  </w:r>
                </w:p>
              </w:tc>
              <w:tc>
                <w:tcPr>
                  <w:tcW w:w="1984" w:type="dxa"/>
                </w:tcPr>
                <w:p>
                  <w:pPr>
                    <w:autoSpaceDE w:val="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课时分配比例%</w:t>
                  </w:r>
                </w:p>
              </w:tc>
              <w:tc>
                <w:tcPr>
                  <w:tcW w:w="1985" w:type="dxa"/>
                </w:tcPr>
                <w:p>
                  <w:pPr>
                    <w:autoSpaceDE w:val="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rPr>
                      <w:rFonts w:hint="default" w:ascii="Times New Roman" w:hAnsi="Times New Roman" w:eastAsia="宋体" w:cs="Times New Roman"/>
                      <w:color w:val="000000"/>
                      <w:sz w:val="21"/>
                      <w:szCs w:val="21"/>
                      <w:highlight w:val="none"/>
                    </w:rPr>
                  </w:pPr>
                </w:p>
              </w:tc>
              <w:tc>
                <w:tcPr>
                  <w:tcW w:w="2703" w:type="dxa"/>
                </w:tcPr>
                <w:p>
                  <w:pPr>
                    <w:autoSpaceDE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线上教学+集中面授</w:t>
                  </w:r>
                </w:p>
              </w:tc>
              <w:tc>
                <w:tcPr>
                  <w:tcW w:w="1984" w:type="dxa"/>
                </w:tcPr>
                <w:p>
                  <w:pPr>
                    <w:autoSpaceDE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60%</w:t>
                  </w:r>
                </w:p>
              </w:tc>
              <w:tc>
                <w:tcPr>
                  <w:tcW w:w="1985" w:type="dxa"/>
                </w:tcPr>
                <w:p>
                  <w:pPr>
                    <w:autoSpaceDE w:val="0"/>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rPr>
                      <w:rFonts w:hint="default" w:ascii="Times New Roman" w:hAnsi="Times New Roman" w:eastAsia="宋体" w:cs="Times New Roman"/>
                      <w:color w:val="000000"/>
                      <w:sz w:val="21"/>
                      <w:szCs w:val="21"/>
                      <w:highlight w:val="none"/>
                    </w:rPr>
                  </w:pPr>
                </w:p>
              </w:tc>
              <w:tc>
                <w:tcPr>
                  <w:tcW w:w="2703" w:type="dxa"/>
                </w:tcPr>
                <w:p>
                  <w:pPr>
                    <w:autoSpaceDE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技能实践</w:t>
                  </w:r>
                </w:p>
              </w:tc>
              <w:tc>
                <w:tcPr>
                  <w:tcW w:w="1984" w:type="dxa"/>
                </w:tcPr>
                <w:p>
                  <w:pPr>
                    <w:autoSpaceDE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40%</w:t>
                  </w:r>
                </w:p>
              </w:tc>
              <w:tc>
                <w:tcPr>
                  <w:tcW w:w="1985" w:type="dxa"/>
                </w:tcPr>
                <w:p>
                  <w:pPr>
                    <w:autoSpaceDE w:val="0"/>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rPr>
                      <w:rFonts w:hint="default" w:ascii="Times New Roman" w:hAnsi="Times New Roman" w:eastAsia="宋体" w:cs="Times New Roman"/>
                      <w:color w:val="000000"/>
                      <w:sz w:val="21"/>
                      <w:szCs w:val="21"/>
                      <w:highlight w:val="none"/>
                    </w:rPr>
                  </w:pPr>
                </w:p>
              </w:tc>
              <w:tc>
                <w:tcPr>
                  <w:tcW w:w="2703" w:type="dxa"/>
                </w:tcPr>
                <w:p>
                  <w:pPr>
                    <w:autoSpaceDE w:val="0"/>
                    <w:rPr>
                      <w:rFonts w:hint="default" w:ascii="Times New Roman" w:hAnsi="Times New Roman" w:eastAsia="宋体" w:cs="Times New Roman"/>
                      <w:color w:val="376092" w:themeColor="accent1" w:themeShade="BF"/>
                      <w:sz w:val="21"/>
                      <w:szCs w:val="21"/>
                      <w:highlight w:val="none"/>
                    </w:rPr>
                  </w:pPr>
                  <w:r>
                    <w:rPr>
                      <w:rFonts w:hint="default" w:ascii="Times New Roman" w:hAnsi="Times New Roman" w:eastAsia="宋体" w:cs="Times New Roman"/>
                      <w:sz w:val="21"/>
                      <w:szCs w:val="21"/>
                      <w:highlight w:val="none"/>
                    </w:rPr>
                    <w:t>合计</w:t>
                  </w:r>
                </w:p>
              </w:tc>
              <w:tc>
                <w:tcPr>
                  <w:tcW w:w="1984" w:type="dxa"/>
                </w:tcPr>
                <w:p>
                  <w:pPr>
                    <w:autoSpaceDE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100%</w:t>
                  </w:r>
                </w:p>
              </w:tc>
              <w:tc>
                <w:tcPr>
                  <w:tcW w:w="1985" w:type="dxa"/>
                </w:tcPr>
                <w:p>
                  <w:pPr>
                    <w:autoSpaceDE w:val="0"/>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restart"/>
                </w:tcPr>
                <w:p>
                  <w:pPr>
                    <w:autoSpaceDE w:val="0"/>
                    <w:jc w:val="center"/>
                    <w:rPr>
                      <w:rFonts w:hint="default" w:ascii="Times New Roman" w:hAnsi="Times New Roman" w:eastAsia="宋体" w:cs="Times New Roman"/>
                      <w:color w:val="000000"/>
                      <w:sz w:val="21"/>
                      <w:szCs w:val="21"/>
                      <w:highlight w:val="none"/>
                    </w:rPr>
                  </w:pPr>
                </w:p>
                <w:p>
                  <w:pPr>
                    <w:autoSpaceDE w:val="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教学内容</w:t>
                  </w:r>
                </w:p>
              </w:tc>
              <w:tc>
                <w:tcPr>
                  <w:tcW w:w="2703" w:type="dxa"/>
                </w:tcPr>
                <w:p>
                  <w:pPr>
                    <w:autoSpaceDE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理论部分</w:t>
                  </w:r>
                </w:p>
              </w:tc>
              <w:tc>
                <w:tcPr>
                  <w:tcW w:w="1984" w:type="dxa"/>
                </w:tcPr>
                <w:p>
                  <w:pPr>
                    <w:autoSpaceDE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60%</w:t>
                  </w:r>
                </w:p>
              </w:tc>
              <w:tc>
                <w:tcPr>
                  <w:tcW w:w="1985" w:type="dxa"/>
                </w:tcPr>
                <w:p>
                  <w:pPr>
                    <w:autoSpaceDE w:val="0"/>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jc w:val="center"/>
                    <w:rPr>
                      <w:rFonts w:hint="default" w:ascii="Times New Roman" w:hAnsi="Times New Roman" w:eastAsia="宋体" w:cs="Times New Roman"/>
                      <w:color w:val="000000"/>
                      <w:sz w:val="21"/>
                      <w:szCs w:val="21"/>
                      <w:highlight w:val="none"/>
                    </w:rPr>
                  </w:pPr>
                </w:p>
              </w:tc>
              <w:tc>
                <w:tcPr>
                  <w:tcW w:w="2703" w:type="dxa"/>
                </w:tcPr>
                <w:p>
                  <w:pPr>
                    <w:autoSpaceDE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实践部分</w:t>
                  </w:r>
                </w:p>
              </w:tc>
              <w:tc>
                <w:tcPr>
                  <w:tcW w:w="1984" w:type="dxa"/>
                </w:tcPr>
                <w:p>
                  <w:pPr>
                    <w:autoSpaceDE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40%</w:t>
                  </w:r>
                </w:p>
              </w:tc>
              <w:tc>
                <w:tcPr>
                  <w:tcW w:w="1985" w:type="dxa"/>
                </w:tcPr>
                <w:p>
                  <w:pPr>
                    <w:autoSpaceDE w:val="0"/>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jc w:val="center"/>
                    <w:rPr>
                      <w:rFonts w:hint="default" w:ascii="Times New Roman" w:hAnsi="Times New Roman" w:eastAsia="宋体" w:cs="Times New Roman"/>
                      <w:color w:val="000000"/>
                      <w:sz w:val="21"/>
                      <w:szCs w:val="21"/>
                      <w:highlight w:val="none"/>
                    </w:rPr>
                  </w:pPr>
                </w:p>
              </w:tc>
              <w:tc>
                <w:tcPr>
                  <w:tcW w:w="2703" w:type="dxa"/>
                </w:tcPr>
                <w:p>
                  <w:pPr>
                    <w:autoSpaceDE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合计</w:t>
                  </w:r>
                </w:p>
              </w:tc>
              <w:tc>
                <w:tcPr>
                  <w:tcW w:w="1984" w:type="dxa"/>
                </w:tcPr>
                <w:p>
                  <w:pPr>
                    <w:autoSpaceDE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100%</w:t>
                  </w:r>
                </w:p>
              </w:tc>
              <w:tc>
                <w:tcPr>
                  <w:tcW w:w="1985" w:type="dxa"/>
                </w:tcPr>
                <w:p>
                  <w:pPr>
                    <w:autoSpaceDE w:val="0"/>
                    <w:rPr>
                      <w:rFonts w:hint="default" w:ascii="Times New Roman" w:hAnsi="Times New Roman" w:eastAsia="宋体" w:cs="Times New Roman"/>
                      <w:color w:val="000000"/>
                      <w:sz w:val="21"/>
                      <w:szCs w:val="21"/>
                      <w:highlight w:val="none"/>
                    </w:rPr>
                  </w:pPr>
                </w:p>
              </w:tc>
            </w:tr>
          </w:tbl>
          <w:p>
            <w:pPr>
              <w:autoSpaceDE w:val="0"/>
              <w:ind w:firstLine="420" w:firstLineChars="200"/>
              <w:rPr>
                <w:rFonts w:hint="default" w:ascii="Times New Roman" w:hAnsi="Times New Roman" w:eastAsia="宋体" w:cs="Times New Roman"/>
                <w:color w:val="000000"/>
                <w:sz w:val="21"/>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2813"/>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8" w:type="dxa"/>
                  <w:gridSpan w:val="3"/>
                </w:tcPr>
                <w:p>
                  <w:pPr>
                    <w:autoSpaceDE w:val="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课程构成比例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2" w:type="dxa"/>
                </w:tcPr>
                <w:p>
                  <w:pPr>
                    <w:autoSpaceDE w:val="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江西开放大学自开课程门数</w:t>
                  </w:r>
                </w:p>
              </w:tc>
              <w:tc>
                <w:tcPr>
                  <w:tcW w:w="2813" w:type="dxa"/>
                </w:tcPr>
                <w:p>
                  <w:pPr>
                    <w:autoSpaceDE w:val="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校企共建课程门数</w:t>
                  </w:r>
                </w:p>
              </w:tc>
              <w:tc>
                <w:tcPr>
                  <w:tcW w:w="2813" w:type="dxa"/>
                </w:tcPr>
                <w:p>
                  <w:pPr>
                    <w:autoSpaceDE w:val="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pPr>
                    <w:autoSpaceDE w:val="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 xml:space="preserve">           </w:t>
                  </w:r>
                  <w:r>
                    <w:rPr>
                      <w:rFonts w:hint="eastAsia" w:ascii="Times New Roman" w:hAnsi="Times New Roman" w:cs="Times New Roman"/>
                      <w:color w:val="000000"/>
                      <w:sz w:val="21"/>
                      <w:szCs w:val="21"/>
                      <w:highlight w:val="none"/>
                      <w:lang w:val="en-US" w:eastAsia="zh-CN"/>
                    </w:rPr>
                    <w:t>30</w:t>
                  </w:r>
                </w:p>
              </w:tc>
              <w:tc>
                <w:tcPr>
                  <w:tcW w:w="2813" w:type="dxa"/>
                </w:tcPr>
                <w:p>
                  <w:pPr>
                    <w:autoSpaceDE w:val="0"/>
                    <w:jc w:val="center"/>
                    <w:rPr>
                      <w:rFonts w:hint="eastAsia" w:ascii="Times New Roman" w:hAnsi="Times New Roman" w:eastAsia="宋体" w:cs="Times New Roman"/>
                      <w:color w:val="000000"/>
                      <w:sz w:val="21"/>
                      <w:szCs w:val="21"/>
                      <w:highlight w:val="none"/>
                      <w:lang w:eastAsia="zh-CN"/>
                    </w:rPr>
                  </w:pPr>
                  <w:r>
                    <w:rPr>
                      <w:rFonts w:hint="eastAsia" w:ascii="Times New Roman" w:hAnsi="Times New Roman" w:cs="Times New Roman"/>
                      <w:color w:val="000000"/>
                      <w:sz w:val="21"/>
                      <w:szCs w:val="21"/>
                      <w:highlight w:val="none"/>
                      <w:lang w:val="en-US" w:eastAsia="zh-CN"/>
                    </w:rPr>
                    <w:t>3</w:t>
                  </w:r>
                </w:p>
              </w:tc>
              <w:tc>
                <w:tcPr>
                  <w:tcW w:w="2813" w:type="dxa"/>
                </w:tcPr>
                <w:p>
                  <w:pPr>
                    <w:autoSpaceDE w:val="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 xml:space="preserve">         </w:t>
                  </w:r>
                  <w:r>
                    <w:rPr>
                      <w:rFonts w:hint="eastAsia" w:ascii="Times New Roman" w:hAnsi="Times New Roman" w:cs="Times New Roman"/>
                      <w:color w:val="000000"/>
                      <w:sz w:val="21"/>
                      <w:szCs w:val="21"/>
                      <w:highlight w:val="none"/>
                      <w:lang w:val="en-US" w:eastAsia="zh-CN"/>
                    </w:rPr>
                    <w:t>33</w:t>
                  </w:r>
                </w:p>
              </w:tc>
            </w:tr>
          </w:tbl>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（三）课程设置</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1.思想政治理论课模块</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(1)必修课：</w:t>
            </w:r>
            <w:r>
              <w:rPr>
                <w:rFonts w:hint="eastAsia" w:ascii="宋体" w:hAnsi="宋体" w:eastAsia="宋体" w:cs="宋体"/>
                <w:color w:val="auto"/>
                <w:sz w:val="24"/>
                <w:szCs w:val="24"/>
              </w:rPr>
              <w:t>毛泽东思想和中国特色社会主义理论体系概论、思想道德与法治、习近平新时代中国特色社会主义思想</w:t>
            </w:r>
            <w:r>
              <w:rPr>
                <w:rFonts w:hint="eastAsia" w:ascii="宋体" w:hAnsi="宋体" w:eastAsia="宋体" w:cs="宋体"/>
                <w:color w:val="auto"/>
                <w:sz w:val="24"/>
                <w:szCs w:val="24"/>
                <w:lang w:val="en-US" w:eastAsia="zh-CN"/>
              </w:rPr>
              <w:t>概论</w:t>
            </w:r>
            <w:r>
              <w:rPr>
                <w:rFonts w:hint="eastAsia" w:ascii="宋体" w:hAnsi="宋体" w:eastAsia="宋体" w:cs="宋体"/>
                <w:color w:val="auto"/>
                <w:sz w:val="24"/>
                <w:szCs w:val="24"/>
              </w:rPr>
              <w:t>、形势与政策。</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(2)选修课：中国传统文化导论。</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2.公共基础课模块</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(1)必修课：入学教育、计算机应用基础、大学英语（1）。</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(2)选修课：大学英语（2）。</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3.专业基础课模块</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(1)必修课：无机化学、有机化学、化工安全防护及管理、化工识图与绘图、典型化工单元设备操作与控制。</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(2)选修课：</w:t>
            </w:r>
            <w:r>
              <w:rPr>
                <w:rFonts w:hint="eastAsia" w:ascii="宋体" w:hAnsi="宋体" w:eastAsia="宋体" w:cs="宋体"/>
                <w:color w:val="000000"/>
                <w:sz w:val="24"/>
                <w:szCs w:val="24"/>
                <w:lang w:val="en-US" w:eastAsia="zh-CN"/>
              </w:rPr>
              <w:t>化工环保概论、煤化学、化工分离技术。</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4.专业课模块</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(1)必修课：</w:t>
            </w:r>
            <w:r>
              <w:rPr>
                <w:rFonts w:hint="eastAsia" w:ascii="宋体" w:hAnsi="宋体" w:eastAsia="宋体" w:cs="宋体"/>
                <w:color w:val="000000"/>
                <w:sz w:val="24"/>
                <w:szCs w:val="24"/>
                <w:lang w:val="en-US" w:eastAsia="zh-CN"/>
              </w:rPr>
              <w:t>化工安全技术、化工设备使用与维护、化学反应过程及设备、典型化工产品生产技术、化工产品分析检测、化工智能控制技术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专业英语</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(2)选修课：</w:t>
            </w:r>
            <w:r>
              <w:rPr>
                <w:rFonts w:hint="eastAsia" w:ascii="宋体" w:hAnsi="宋体" w:eastAsia="宋体" w:cs="宋体"/>
                <w:color w:val="000000"/>
                <w:sz w:val="24"/>
                <w:szCs w:val="24"/>
                <w:lang w:val="en-US" w:eastAsia="zh-CN"/>
              </w:rPr>
              <w:t>精细化工生产技术、盐化工生产技术、石油化工生产技术</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5.通识课模块</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(1)必修课：江西红色文化。</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(2)选修课：</w:t>
            </w:r>
            <w:r>
              <w:rPr>
                <w:rFonts w:hint="eastAsia" w:ascii="宋体" w:hAnsi="宋体" w:eastAsia="宋体" w:cs="宋体"/>
                <w:b w:val="0"/>
                <w:bCs w:val="0"/>
                <w:color w:val="auto"/>
                <w:sz w:val="24"/>
                <w:szCs w:val="24"/>
              </w:rPr>
              <w:t>常见心理问题与危机应对</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6.企业特色课模块</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(1)必</w:t>
            </w:r>
            <w:r>
              <w:rPr>
                <w:rFonts w:hint="eastAsia" w:ascii="宋体" w:hAnsi="宋体" w:eastAsia="宋体" w:cs="宋体"/>
                <w:color w:val="auto"/>
                <w:sz w:val="24"/>
                <w:szCs w:val="24"/>
              </w:rPr>
              <w:t>修课：企业特色课。</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7.技能实践课模块</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(1)必修课：</w:t>
            </w:r>
            <w:r>
              <w:rPr>
                <w:rFonts w:hint="eastAsia" w:ascii="宋体" w:hAnsi="宋体" w:eastAsia="宋体" w:cs="宋体"/>
                <w:color w:val="000000"/>
                <w:sz w:val="24"/>
                <w:szCs w:val="24"/>
                <w:lang w:val="en-US" w:eastAsia="zh-CN"/>
              </w:rPr>
              <w:t>包</w:t>
            </w:r>
            <w:r>
              <w:rPr>
                <w:rFonts w:hint="eastAsia" w:ascii="宋体" w:hAnsi="宋体" w:eastAsia="宋体" w:cs="宋体"/>
                <w:color w:val="000000"/>
                <w:sz w:val="24"/>
                <w:szCs w:val="24"/>
              </w:rPr>
              <w:t>认识实习、</w:t>
            </w:r>
            <w:r>
              <w:rPr>
                <w:rFonts w:hint="eastAsia" w:ascii="宋体" w:hAnsi="宋体" w:eastAsia="宋体" w:cs="宋体"/>
                <w:color w:val="000000"/>
                <w:sz w:val="24"/>
                <w:szCs w:val="24"/>
                <w:lang w:val="en-US" w:eastAsia="zh-CN"/>
              </w:rPr>
              <w:t>岗位</w:t>
            </w:r>
            <w:r>
              <w:rPr>
                <w:rFonts w:hint="eastAsia" w:ascii="宋体" w:hAnsi="宋体" w:eastAsia="宋体" w:cs="宋体"/>
                <w:color w:val="000000"/>
                <w:sz w:val="24"/>
                <w:szCs w:val="24"/>
              </w:rPr>
              <w:t>实习等实践课程。</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（四）课程说明</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1.毛泽东思想和中国特色社会主义理论体系概论</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本课程</w:t>
            </w:r>
            <w:r>
              <w:rPr>
                <w:rFonts w:hint="eastAsia" w:ascii="宋体" w:hAnsi="宋体" w:eastAsia="宋体" w:cs="宋体"/>
                <w:sz w:val="24"/>
                <w:szCs w:val="24"/>
                <w:lang w:val="en-US" w:eastAsia="zh-CN"/>
              </w:rPr>
              <w:t>2</w:t>
            </w:r>
            <w:r>
              <w:rPr>
                <w:rFonts w:hint="eastAsia" w:ascii="宋体" w:hAnsi="宋体" w:eastAsia="宋体" w:cs="宋体"/>
                <w:sz w:val="24"/>
                <w:szCs w:val="24"/>
              </w:rPr>
              <w:t>学分，共</w:t>
            </w: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学时（理论</w:t>
            </w: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毛泽东思想和中国特色社会主义理论体系概论》是江西开放大学面向专科各专业学生开设的一门思想政治理论必修课程。通过本课程的学习，学生可以准确地掌握马克思主义中国化进程中形成的理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的提升有更加切实的帮助。</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的主要内容包括三部分：第一部分是毛泽东思想，包括毛泽东思想的形成、新民主主义革命理论、社会主义改造理论、社会主义建设道路初步探索的理论成果。第二部分主要阐述邓小平理论、“三个代表”重要思想、科学发展观的主要内容。第三部分简要阐述习近平新时代中国特色社会主义思想形成的时代背景、历史地位等，其详细内容在《习近平新时代中国特色社会主义思想》课程中予以重点阐述。</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2.思想道德与法治</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本课程3学分，共54学时</w:t>
            </w:r>
            <w:r>
              <w:rPr>
                <w:rFonts w:hint="eastAsia" w:ascii="宋体" w:hAnsi="宋体" w:eastAsia="宋体" w:cs="宋体"/>
                <w:color w:val="auto"/>
                <w:sz w:val="24"/>
                <w:szCs w:val="24"/>
              </w:rPr>
              <w:t>（理论36学时，实践18学时），开设一学期。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《思想道德与法治》是江西开放大学面向专科各专业学生开设的一门思想政治理论必修课程。本课程以习近平新时代中国特色社会主义思想为指导，以新时</w:t>
            </w:r>
            <w:r>
              <w:rPr>
                <w:rFonts w:hint="eastAsia" w:ascii="宋体" w:hAnsi="宋体" w:eastAsia="宋体" w:cs="宋体"/>
                <w:sz w:val="24"/>
                <w:szCs w:val="24"/>
              </w:rPr>
              <w:t>代对青年学生的新要求为主线，以思想教育、道德教育和法治教育为基本内容，通过学习，引导学生树立崇高的理想信念，弘扬中国精神，确立正确的世界观、人生观、价值观，养成良好的道德素质和法治素养，培育能够担当民族复兴大任的时代新人。</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本课程的主要内容包括：时代新人的新样貌、人生的青春之问、坚定理想信念、弘扬中国精神、践行社会主义核心价值观、明大德守公德严私德、尊法学法守法用法、依法行使权利与履行义务等。</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3.习近平新时代中国特色社会主义思想</w:t>
            </w:r>
            <w:r>
              <w:rPr>
                <w:rFonts w:hint="eastAsia" w:ascii="宋体" w:hAnsi="宋体" w:eastAsia="宋体" w:cs="宋体"/>
                <w:sz w:val="24"/>
                <w:szCs w:val="24"/>
                <w:lang w:val="en-US" w:eastAsia="zh-CN"/>
              </w:rPr>
              <w:t>概论</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本课程</w:t>
            </w:r>
            <w:r>
              <w:rPr>
                <w:rFonts w:hint="eastAsia" w:ascii="宋体" w:hAnsi="宋体" w:eastAsia="宋体" w:cs="宋体"/>
                <w:sz w:val="24"/>
                <w:szCs w:val="24"/>
                <w:lang w:val="en-US" w:eastAsia="zh-CN"/>
              </w:rPr>
              <w:t>3</w:t>
            </w:r>
            <w:r>
              <w:rPr>
                <w:rFonts w:hint="eastAsia" w:ascii="宋体" w:hAnsi="宋体" w:eastAsia="宋体" w:cs="宋体"/>
                <w:color w:val="auto"/>
                <w:sz w:val="24"/>
                <w:szCs w:val="24"/>
              </w:rPr>
              <w:t>学分，共</w:t>
            </w: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rPr>
              <w:t>学时（理论</w:t>
            </w: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《习近平新时代中国特色社会主义思想</w:t>
            </w:r>
            <w:r>
              <w:rPr>
                <w:rFonts w:hint="eastAsia" w:ascii="宋体" w:hAnsi="宋体" w:eastAsia="宋体" w:cs="宋体"/>
                <w:color w:val="auto"/>
                <w:sz w:val="24"/>
                <w:szCs w:val="24"/>
                <w:lang w:val="en-US" w:eastAsia="zh-CN"/>
              </w:rPr>
              <w:t>概论</w:t>
            </w:r>
            <w:r>
              <w:rPr>
                <w:rFonts w:hint="eastAsia" w:ascii="宋体" w:hAnsi="宋体" w:eastAsia="宋体" w:cs="宋体"/>
                <w:color w:val="auto"/>
                <w:sz w:val="24"/>
                <w:szCs w:val="24"/>
              </w:rPr>
              <w:t>》是江西开放大学面向本专科各专业学生开设的一门思想政治理论必修课程。通过本课程的学习，学生</w:t>
            </w:r>
            <w:r>
              <w:rPr>
                <w:rFonts w:hint="eastAsia" w:ascii="宋体" w:hAnsi="宋体" w:eastAsia="宋体" w:cs="宋体"/>
                <w:sz w:val="24"/>
                <w:szCs w:val="24"/>
              </w:rPr>
              <w:t>能系统地掌握习近平新时代中国特色社会主义思想的形成背景、主要内容及其历史地位，从而自觉地投身于中国特色社会主义的伟大建设实践，为中国人民谋幸福，为中华民族谋复兴。</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集结号”；中国特色社会主义进入新时代的发展战略；中国智慧、中国方案；中国特色社会主义进入新时代的军队建设；时代先锋、世界脊梁；中国特色社会主义进入新时代的党的建设等。</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4.形势与政策</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本课程1学分，</w:t>
            </w:r>
            <w:r>
              <w:rPr>
                <w:rFonts w:hint="eastAsia" w:ascii="宋体" w:hAnsi="宋体" w:eastAsia="宋体" w:cs="宋体"/>
                <w:color w:val="auto"/>
                <w:sz w:val="24"/>
                <w:szCs w:val="24"/>
              </w:rPr>
              <w:t>共18学时（理论18学时），开设1-5学期，学生在校学习期间开课不断线。</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形势与政策》是江西开放大学面向本专科各专业学生开设的一门思想政治理论必修课程。通过本课程的学习，学生学会运用马克思主义的形势观和政策理论，科学地分析国内外形势，正确地理解党的现行政策，引导他们自觉地拥护党的基本</w:t>
            </w:r>
            <w:r>
              <w:rPr>
                <w:rFonts w:hint="eastAsia" w:ascii="宋体" w:hAnsi="宋体" w:eastAsia="宋体" w:cs="宋体"/>
                <w:sz w:val="24"/>
                <w:szCs w:val="24"/>
              </w:rPr>
              <w:t>路线，维护社会主义制度，学习世界政治经济与国际关系基本知识，增强实现改革开放和社会主义现代化建设宏伟目标的信心和社会责任感。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本课程的主要内容包括：党和国家重大的理论政策、社会主义现代化建设的形势、国际形势与国际关系、各省经济社会发展形势与特点、安全教育等内容。</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.中国传统文化导论</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本课程3学分，课内学时54学时（理论54学时），开设一学期。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本课程将“立德树人”贯穿于课程教学全过程。本课程是江西开放大学面向专科各专业学生开设的一门思想政治理论选修课程。通过本课程的学习，使学生能了解传统文化的基础知识，熟练运用相关资料。</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本课程的主要内容：分为三部分，中国传统文化简史；中国传统文化的特质；中国传统文化的现代化。</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.入学教育</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本课程1学分，共18</w:t>
            </w:r>
            <w:r>
              <w:rPr>
                <w:rFonts w:hint="eastAsia" w:ascii="宋体" w:hAnsi="宋体" w:eastAsia="宋体" w:cs="宋体"/>
                <w:color w:val="auto"/>
                <w:sz w:val="24"/>
                <w:szCs w:val="24"/>
              </w:rPr>
              <w:t>学时（理论18学时），开设一学期。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课程是江西开放大学成人高等教育本专科各专业开设的一门必修课。课程内容包括江西开放大学历史、办学模式、学习方式简介；专业内容和学习过程说明；课程学习资源、课程考试、学习网简介；网上学习操作技能和上网工具等说明。</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auto"/>
                <w:sz w:val="24"/>
                <w:szCs w:val="24"/>
              </w:rPr>
              <w:t>通过学习能够了解江西开放大学概况、熟悉专业和课程设置情况及学</w:t>
            </w:r>
            <w:r>
              <w:rPr>
                <w:rFonts w:hint="eastAsia" w:ascii="宋体" w:hAnsi="宋体" w:eastAsia="宋体" w:cs="宋体"/>
                <w:color w:val="000000"/>
                <w:sz w:val="24"/>
                <w:szCs w:val="24"/>
              </w:rPr>
              <w:t>习环境，熟悉与成人高等教育相适应的学习方法，能够运用现代教育技术进行网络学习和交流。</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7．计算机应用基础</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本课程4学分，课内学时72学时（理论72学时），开设一学期。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通过本课程的学习, 学生应能了解计算机发展历史，计算机的基础知识，信息技术的基本常识；掌握使用微型计算机和网络处理办公事务的基本技能和方法，为学生深入学习计算机相关知识、技能以及提高综合素质打下基础。</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本课程的主要内容包括：计算机基础知识，Windows操作系统；网络应用基础；文字处理系统（Word）；电子表格系统（Excel）；电子演示文稿系统（PowerPoint）；数据库应用系统（Access）。</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 </w:t>
            </w:r>
            <w:r>
              <w:rPr>
                <w:rFonts w:hint="eastAsia" w:ascii="宋体" w:hAnsi="宋体" w:eastAsia="宋体" w:cs="宋体"/>
                <w:sz w:val="24"/>
                <w:szCs w:val="24"/>
              </w:rPr>
              <w:t>大学英语（1）</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本课程3学分，共54学时（理论54学时），开设一学期。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课程是非英语类专科各专业的公共基础课，主要以培养学生的英语综合应用能力为目的，使学生具有较强的阅读能力和一定的听、说、写、译能力，使他们能用英语交流信息，帮助学生打下扎实的语言基础，掌握良好的语言学习方法，提高文化素养，以适应我国社会发展和国际交流的需要。</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课程的学习，学生应能掌握1600左右的常用词汇（包括入学要求掌握的600词）以及相关的常用词组；能够掌握并正确运用基本的语法知识；能听懂课堂用语，并能听懂与所学内容相关、语速能听懂语速较慢(每分钟100词)的能够听懂日常生活中发音清楚、语速较慢的简短对话或日常生活用语，能回答课堂上老师的提同，能用常用词汇和句型与同学进行主題式讨论。能介绍自己、能用英语进行简短的日常交流；能够读懂所学词汇和语法范围内的故事、短文、通知等；能够能根据所学课文内容，在半小时内写出80字左右的简短应用文，如信函、便条等。</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sz w:val="24"/>
                <w:szCs w:val="24"/>
              </w:rPr>
              <w:t>大学英语（</w:t>
            </w:r>
            <w:r>
              <w:rPr>
                <w:rFonts w:hint="eastAsia" w:ascii="宋体" w:hAnsi="宋体" w:eastAsia="宋体" w:cs="宋体"/>
                <w:sz w:val="24"/>
                <w:szCs w:val="24"/>
                <w:lang w:val="en-US" w:eastAsia="zh-CN"/>
              </w:rPr>
              <w:t>2</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本课程3学分，共54学时（理论54学时），开设一学期。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是非英语类专科各专业的公共基础课，主要以培养学生的英语综合应用能力为目的，使学生具有较强的阅读能力和一定的听、说、写、译能力，使他们能用英语交流信息，帮助学生打下扎实的语言基础，掌握良好的语言学习方法，提高文化素养，以适应我国社会发展和国际交流的需要。</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课程的学习，学生应能掌握1600左右的常用词汇（包括入学要求掌握的600词）以及相关的常用词组；能够掌握并正确运用基本的语法知识；能听懂课堂用语，并能听懂与所学内容相关、语速能听懂语速较慢(每分钟100词)的能够听懂日常生活中发音清楚、语速较慢的简短对话或日常生活用语，能回答课堂上老师的提同，能用常用词汇和句型与同学进行主題式讨论。能介绍自己、能用英语进行简短的日常交流；能够读懂所学词汇和语法范围内的故事、短文、通知等；能够根据所学课文内容，在半小时内写出80字左右的简短应用文，如信函、便条、日记、通知等。</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10.无机化学</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本课程3学分，共54学时（理论</w:t>
            </w:r>
            <w:r>
              <w:rPr>
                <w:rFonts w:hint="eastAsia" w:ascii="宋体" w:hAnsi="宋体" w:eastAsia="宋体" w:cs="宋体"/>
                <w:sz w:val="24"/>
                <w:szCs w:val="24"/>
                <w:lang w:val="en-US" w:eastAsia="zh-CN"/>
              </w:rPr>
              <w:t>36</w:t>
            </w:r>
            <w:r>
              <w:rPr>
                <w:rFonts w:hint="eastAsia" w:ascii="宋体" w:hAnsi="宋体" w:eastAsia="宋体" w:cs="宋体"/>
                <w:sz w:val="24"/>
                <w:szCs w:val="24"/>
              </w:rPr>
              <w:t>学时</w:t>
            </w:r>
            <w:r>
              <w:rPr>
                <w:rFonts w:hint="eastAsia" w:ascii="宋体" w:hAnsi="宋体" w:eastAsia="宋体" w:cs="宋体"/>
                <w:sz w:val="24"/>
                <w:szCs w:val="24"/>
                <w:lang w:eastAsia="zh-CN"/>
              </w:rPr>
              <w:t>，</w:t>
            </w:r>
            <w:r>
              <w:rPr>
                <w:rFonts w:hint="eastAsia" w:ascii="宋体" w:hAnsi="宋体" w:eastAsia="宋体" w:cs="宋体"/>
                <w:sz w:val="24"/>
                <w:szCs w:val="24"/>
              </w:rPr>
              <w:t>实践</w:t>
            </w:r>
            <w:r>
              <w:rPr>
                <w:rFonts w:hint="eastAsia" w:ascii="宋体" w:hAnsi="宋体" w:eastAsia="宋体" w:cs="宋体"/>
                <w:sz w:val="24"/>
                <w:szCs w:val="24"/>
                <w:lang w:val="en-US" w:eastAsia="zh-CN"/>
              </w:rPr>
              <w:t>18</w:t>
            </w:r>
            <w:r>
              <w:rPr>
                <w:rFonts w:hint="eastAsia" w:ascii="宋体" w:hAnsi="宋体" w:eastAsia="宋体" w:cs="宋体"/>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本课程是</w:t>
            </w:r>
            <w:r>
              <w:rPr>
                <w:rFonts w:hint="eastAsia" w:ascii="宋体" w:hAnsi="宋体" w:eastAsia="宋体" w:cs="宋体"/>
                <w:sz w:val="24"/>
                <w:szCs w:val="24"/>
                <w:lang w:val="en-US" w:eastAsia="zh-CN"/>
              </w:rPr>
              <w:t>应用化工技术</w:t>
            </w:r>
            <w:r>
              <w:rPr>
                <w:rFonts w:hint="eastAsia" w:ascii="宋体" w:hAnsi="宋体" w:eastAsia="宋体" w:cs="宋体"/>
                <w:sz w:val="24"/>
                <w:szCs w:val="24"/>
              </w:rPr>
              <w:t>专业的</w:t>
            </w:r>
            <w:r>
              <w:rPr>
                <w:rFonts w:hint="eastAsia" w:ascii="宋体" w:hAnsi="宋体" w:eastAsia="宋体" w:cs="宋体"/>
                <w:sz w:val="24"/>
                <w:szCs w:val="24"/>
                <w:lang w:val="en-US" w:eastAsia="zh-CN"/>
              </w:rPr>
              <w:t>专业</w:t>
            </w:r>
            <w:r>
              <w:rPr>
                <w:rFonts w:hint="eastAsia" w:ascii="宋体" w:hAnsi="宋体" w:eastAsia="宋体" w:cs="宋体"/>
                <w:sz w:val="24"/>
                <w:szCs w:val="24"/>
              </w:rPr>
              <w:t>基础</w:t>
            </w:r>
            <w:r>
              <w:rPr>
                <w:rFonts w:hint="eastAsia" w:ascii="宋体" w:hAnsi="宋体" w:eastAsia="宋体" w:cs="宋体"/>
                <w:sz w:val="24"/>
                <w:szCs w:val="24"/>
                <w:lang w:val="en-US" w:eastAsia="zh-CN"/>
              </w:rPr>
              <w:t>必修</w:t>
            </w:r>
            <w:r>
              <w:rPr>
                <w:rFonts w:hint="eastAsia" w:ascii="宋体" w:hAnsi="宋体" w:eastAsia="宋体" w:cs="宋体"/>
                <w:sz w:val="24"/>
                <w:szCs w:val="24"/>
              </w:rPr>
              <w:t>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本课程</w:t>
            </w:r>
            <w:r>
              <w:rPr>
                <w:rFonts w:hint="eastAsia" w:ascii="宋体" w:hAnsi="宋体" w:eastAsia="宋体" w:cs="宋体"/>
                <w:sz w:val="24"/>
                <w:szCs w:val="24"/>
                <w:lang w:eastAsia="zh-CN"/>
              </w:rPr>
              <w:t>培养学生化学基础知识、化学思维方法和实验动手能力的一门课程。 通过本课程的学习，学生从整体上认识化工相关工作所需要的知识与技能，为后续课程学习作前期准备，为学生</w:t>
            </w:r>
            <w:r>
              <w:rPr>
                <w:rFonts w:hint="eastAsia" w:ascii="宋体" w:hAnsi="宋体" w:eastAsia="宋体" w:cs="宋体"/>
                <w:sz w:val="24"/>
                <w:szCs w:val="24"/>
                <w:lang w:val="en-US" w:eastAsia="zh-CN"/>
              </w:rPr>
              <w:t>岗位实习和</w:t>
            </w:r>
            <w:r>
              <w:rPr>
                <w:rFonts w:hint="eastAsia" w:ascii="宋体" w:hAnsi="宋体" w:eastAsia="宋体" w:cs="宋体"/>
                <w:sz w:val="24"/>
                <w:szCs w:val="24"/>
                <w:lang w:eastAsia="zh-CN"/>
              </w:rPr>
              <w:t>就业夯实基础。</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本课程的主要内容：</w:t>
            </w:r>
            <w:r>
              <w:rPr>
                <w:rFonts w:hint="eastAsia" w:ascii="宋体" w:hAnsi="宋体" w:eastAsia="宋体" w:cs="宋体"/>
                <w:sz w:val="24"/>
                <w:szCs w:val="24"/>
                <w:lang w:eastAsia="zh-CN"/>
              </w:rPr>
              <w:t>原子结构与元素周期律，原子核外电子运动状态的基本特点，分子结构和分子晶体理论知识，sp、sp2和sp3杂化轨道成键分子的空间构型，化学反应速率、化学平衡、电解质溶液和离子平衡相关理论知识，氧化还原反应、配位化合物相关知识</w:t>
            </w:r>
            <w:r>
              <w:rPr>
                <w:rFonts w:hint="eastAsia" w:ascii="宋体" w:hAnsi="宋体" w:eastAsia="宋体" w:cs="宋体"/>
                <w:sz w:val="24"/>
                <w:szCs w:val="24"/>
                <w:lang w:val="en-US" w:eastAsia="zh-CN"/>
              </w:rPr>
              <w:t>等。</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11.有机化学</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本课程3学分，共54学时（理论</w:t>
            </w:r>
            <w:r>
              <w:rPr>
                <w:rFonts w:hint="eastAsia" w:ascii="宋体" w:hAnsi="宋体" w:eastAsia="宋体" w:cs="宋体"/>
                <w:sz w:val="24"/>
                <w:szCs w:val="24"/>
                <w:lang w:val="en-US" w:eastAsia="zh-CN"/>
              </w:rPr>
              <w:t>36</w:t>
            </w:r>
            <w:r>
              <w:rPr>
                <w:rFonts w:hint="eastAsia" w:ascii="宋体" w:hAnsi="宋体" w:eastAsia="宋体" w:cs="宋体"/>
                <w:sz w:val="24"/>
                <w:szCs w:val="24"/>
              </w:rPr>
              <w:t>学时</w:t>
            </w:r>
            <w:r>
              <w:rPr>
                <w:rFonts w:hint="eastAsia" w:ascii="宋体" w:hAnsi="宋体" w:eastAsia="宋体" w:cs="宋体"/>
                <w:sz w:val="24"/>
                <w:szCs w:val="24"/>
                <w:lang w:eastAsia="zh-CN"/>
              </w:rPr>
              <w:t>，</w:t>
            </w:r>
            <w:r>
              <w:rPr>
                <w:rFonts w:hint="eastAsia" w:ascii="宋体" w:hAnsi="宋体" w:eastAsia="宋体" w:cs="宋体"/>
                <w:sz w:val="24"/>
                <w:szCs w:val="24"/>
              </w:rPr>
              <w:t>实践</w:t>
            </w:r>
            <w:r>
              <w:rPr>
                <w:rFonts w:hint="eastAsia" w:ascii="宋体" w:hAnsi="宋体" w:eastAsia="宋体" w:cs="宋体"/>
                <w:sz w:val="24"/>
                <w:szCs w:val="24"/>
                <w:lang w:val="en-US" w:eastAsia="zh-CN"/>
              </w:rPr>
              <w:t>18</w:t>
            </w:r>
            <w:r>
              <w:rPr>
                <w:rFonts w:hint="eastAsia" w:ascii="宋体" w:hAnsi="宋体" w:eastAsia="宋体" w:cs="宋体"/>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本课程是</w:t>
            </w:r>
            <w:r>
              <w:rPr>
                <w:rFonts w:hint="eastAsia" w:ascii="宋体" w:hAnsi="宋体" w:eastAsia="宋体" w:cs="宋体"/>
                <w:sz w:val="24"/>
                <w:szCs w:val="24"/>
                <w:lang w:val="en-US" w:eastAsia="zh-CN"/>
              </w:rPr>
              <w:t>应用化工技术</w:t>
            </w:r>
            <w:r>
              <w:rPr>
                <w:rFonts w:hint="eastAsia" w:ascii="宋体" w:hAnsi="宋体" w:eastAsia="宋体" w:cs="宋体"/>
                <w:sz w:val="24"/>
                <w:szCs w:val="24"/>
              </w:rPr>
              <w:t>专业的</w:t>
            </w:r>
            <w:r>
              <w:rPr>
                <w:rFonts w:hint="eastAsia" w:ascii="宋体" w:hAnsi="宋体" w:eastAsia="宋体" w:cs="宋体"/>
                <w:sz w:val="24"/>
                <w:szCs w:val="24"/>
                <w:lang w:val="en-US" w:eastAsia="zh-CN"/>
              </w:rPr>
              <w:t>专业</w:t>
            </w:r>
            <w:r>
              <w:rPr>
                <w:rFonts w:hint="eastAsia" w:ascii="宋体" w:hAnsi="宋体" w:eastAsia="宋体" w:cs="宋体"/>
                <w:sz w:val="24"/>
                <w:szCs w:val="24"/>
              </w:rPr>
              <w:t>基础</w:t>
            </w:r>
            <w:r>
              <w:rPr>
                <w:rFonts w:hint="eastAsia" w:ascii="宋体" w:hAnsi="宋体" w:eastAsia="宋体" w:cs="宋体"/>
                <w:sz w:val="24"/>
                <w:szCs w:val="24"/>
                <w:lang w:val="en-US" w:eastAsia="zh-CN"/>
              </w:rPr>
              <w:t>必修</w:t>
            </w:r>
            <w:r>
              <w:rPr>
                <w:rFonts w:hint="eastAsia" w:ascii="宋体" w:hAnsi="宋体" w:eastAsia="宋体" w:cs="宋体"/>
                <w:sz w:val="24"/>
                <w:szCs w:val="24"/>
              </w:rPr>
              <w:t>课</w:t>
            </w:r>
            <w:r>
              <w:rPr>
                <w:rFonts w:hint="eastAsia" w:ascii="宋体" w:hAnsi="宋体" w:eastAsia="宋体" w:cs="宋体"/>
                <w:sz w:val="24"/>
                <w:szCs w:val="24"/>
                <w:lang w:eastAsia="zh-CN"/>
              </w:rPr>
              <w:t>，通过本课程学习，学生了解常见有机化合物在化工生产、日常生活中的地位和作用，把有机化学与本专业知识紧密结合起来，掌握有机化学的基本概念、基本理论、制备方法及实验技能，并能运用基础知识综合解析有机反应、有机合成中的实际问题。为其它后续课程准备必要的基础理论，也为学生的终身学习、生产和科研工作打下较坚实的基础。</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本课程的主要内容：有机化学在本专业中的基础地位和重要性，各类有机化合物的结构、命名、理化性质，有机化学的基本知识、理论、概念和特点，烷基化反应、醛酮氧化还原反应等重要的有机化学反应及其应用，有机化合物的同分异构现象、制备方法和用途，羧酸、胺及其衍生物的化学特性及典型制备方法等。</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12.</w:t>
            </w:r>
            <w:r>
              <w:rPr>
                <w:rFonts w:hint="eastAsia" w:ascii="宋体" w:hAnsi="宋体" w:eastAsia="宋体" w:cs="宋体"/>
                <w:color w:val="000000"/>
                <w:sz w:val="24"/>
                <w:szCs w:val="24"/>
              </w:rPr>
              <w:t>化工安全防护及管理</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本课程3学分，共54学时（理论</w:t>
            </w:r>
            <w:r>
              <w:rPr>
                <w:rFonts w:hint="eastAsia" w:ascii="宋体" w:hAnsi="宋体" w:eastAsia="宋体" w:cs="宋体"/>
                <w:sz w:val="24"/>
                <w:szCs w:val="24"/>
                <w:lang w:val="en-US" w:eastAsia="zh-CN"/>
              </w:rPr>
              <w:t>36</w:t>
            </w:r>
            <w:r>
              <w:rPr>
                <w:rFonts w:hint="eastAsia" w:ascii="宋体" w:hAnsi="宋体" w:eastAsia="宋体" w:cs="宋体"/>
                <w:sz w:val="24"/>
                <w:szCs w:val="24"/>
              </w:rPr>
              <w:t>学时</w:t>
            </w:r>
            <w:r>
              <w:rPr>
                <w:rFonts w:hint="eastAsia" w:ascii="宋体" w:hAnsi="宋体" w:eastAsia="宋体" w:cs="宋体"/>
                <w:sz w:val="24"/>
                <w:szCs w:val="24"/>
                <w:lang w:eastAsia="zh-CN"/>
              </w:rPr>
              <w:t>，</w:t>
            </w:r>
            <w:r>
              <w:rPr>
                <w:rFonts w:hint="eastAsia" w:ascii="宋体" w:hAnsi="宋体" w:eastAsia="宋体" w:cs="宋体"/>
                <w:sz w:val="24"/>
                <w:szCs w:val="24"/>
              </w:rPr>
              <w:t>实践</w:t>
            </w:r>
            <w:r>
              <w:rPr>
                <w:rFonts w:hint="eastAsia" w:ascii="宋体" w:hAnsi="宋体" w:eastAsia="宋体" w:cs="宋体"/>
                <w:sz w:val="24"/>
                <w:szCs w:val="24"/>
                <w:lang w:val="en-US" w:eastAsia="zh-CN"/>
              </w:rPr>
              <w:t>18</w:t>
            </w:r>
            <w:r>
              <w:rPr>
                <w:rFonts w:hint="eastAsia" w:ascii="宋体" w:hAnsi="宋体" w:eastAsia="宋体" w:cs="宋体"/>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本课程是</w:t>
            </w:r>
            <w:r>
              <w:rPr>
                <w:rFonts w:hint="eastAsia" w:ascii="宋体" w:hAnsi="宋体" w:eastAsia="宋体" w:cs="宋体"/>
                <w:sz w:val="24"/>
                <w:szCs w:val="24"/>
                <w:lang w:val="en-US" w:eastAsia="zh-CN"/>
              </w:rPr>
              <w:t>应用化工技术</w:t>
            </w:r>
            <w:r>
              <w:rPr>
                <w:rFonts w:hint="eastAsia" w:ascii="宋体" w:hAnsi="宋体" w:eastAsia="宋体" w:cs="宋体"/>
                <w:sz w:val="24"/>
                <w:szCs w:val="24"/>
              </w:rPr>
              <w:t>专业的</w:t>
            </w:r>
            <w:r>
              <w:rPr>
                <w:rFonts w:hint="eastAsia" w:ascii="宋体" w:hAnsi="宋体" w:eastAsia="宋体" w:cs="宋体"/>
                <w:sz w:val="24"/>
                <w:szCs w:val="24"/>
                <w:lang w:val="en-US" w:eastAsia="zh-CN"/>
              </w:rPr>
              <w:t>专业</w:t>
            </w:r>
            <w:r>
              <w:rPr>
                <w:rFonts w:hint="eastAsia" w:ascii="宋体" w:hAnsi="宋体" w:eastAsia="宋体" w:cs="宋体"/>
                <w:sz w:val="24"/>
                <w:szCs w:val="24"/>
              </w:rPr>
              <w:t>基础</w:t>
            </w:r>
            <w:r>
              <w:rPr>
                <w:rFonts w:hint="eastAsia" w:ascii="宋体" w:hAnsi="宋体" w:eastAsia="宋体" w:cs="宋体"/>
                <w:sz w:val="24"/>
                <w:szCs w:val="24"/>
                <w:lang w:val="en-US" w:eastAsia="zh-CN"/>
              </w:rPr>
              <w:t>必修</w:t>
            </w:r>
            <w:r>
              <w:rPr>
                <w:rFonts w:hint="eastAsia" w:ascii="宋体" w:hAnsi="宋体" w:eastAsia="宋体" w:cs="宋体"/>
                <w:sz w:val="24"/>
                <w:szCs w:val="24"/>
              </w:rPr>
              <w:t>课</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 xml:space="preserve">通过本课程的学习，使学生了解化工安全生产的法规，掌握化工安全生产的基本知识和化工安全生产的方法，预防各类安全事故的发生。本课程将“工匠精神”注入安全生产的每一个细节，每一个环节，用科学系统的专业知识指导工作，拓宽安全工作思路，找准安全生产过程中的各种危险源，防止事故的发生，从而实现长治久安。 </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本课程的主要内容：化工发展对安全的要求，化工厂设计与操作安全，燃烧和爆炸与防火防爆安全技术，职业毒害与防毒措施，压力容器和机电设备安全，工业腐蚀与预防措施，系统安全与评估。 </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化工识图与绘图</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本课程3学分，共54学时（理论</w:t>
            </w:r>
            <w:r>
              <w:rPr>
                <w:rFonts w:hint="eastAsia" w:ascii="宋体" w:hAnsi="宋体" w:eastAsia="宋体" w:cs="宋体"/>
                <w:sz w:val="24"/>
                <w:szCs w:val="24"/>
                <w:lang w:val="en-US" w:eastAsia="zh-CN"/>
              </w:rPr>
              <w:t>18</w:t>
            </w:r>
            <w:r>
              <w:rPr>
                <w:rFonts w:hint="eastAsia" w:ascii="宋体" w:hAnsi="宋体" w:eastAsia="宋体" w:cs="宋体"/>
                <w:sz w:val="24"/>
                <w:szCs w:val="24"/>
              </w:rPr>
              <w:t>学时</w:t>
            </w:r>
            <w:r>
              <w:rPr>
                <w:rFonts w:hint="eastAsia" w:ascii="宋体" w:hAnsi="宋体" w:eastAsia="宋体" w:cs="宋体"/>
                <w:sz w:val="24"/>
                <w:szCs w:val="24"/>
                <w:lang w:eastAsia="zh-CN"/>
              </w:rPr>
              <w:t>，</w:t>
            </w:r>
            <w:r>
              <w:rPr>
                <w:rFonts w:hint="eastAsia" w:ascii="宋体" w:hAnsi="宋体" w:eastAsia="宋体" w:cs="宋体"/>
                <w:sz w:val="24"/>
                <w:szCs w:val="24"/>
              </w:rPr>
              <w:t>实践</w:t>
            </w:r>
            <w:r>
              <w:rPr>
                <w:rFonts w:hint="eastAsia" w:ascii="宋体" w:hAnsi="宋体" w:eastAsia="宋体" w:cs="宋体"/>
                <w:sz w:val="24"/>
                <w:szCs w:val="24"/>
                <w:lang w:val="en-US" w:eastAsia="zh-CN"/>
              </w:rPr>
              <w:t>36</w:t>
            </w:r>
            <w:r>
              <w:rPr>
                <w:rFonts w:hint="eastAsia" w:ascii="宋体" w:hAnsi="宋体" w:eastAsia="宋体" w:cs="宋体"/>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本课程是</w:t>
            </w:r>
            <w:r>
              <w:rPr>
                <w:rFonts w:hint="eastAsia" w:ascii="宋体" w:hAnsi="宋体" w:eastAsia="宋体" w:cs="宋体"/>
                <w:sz w:val="24"/>
                <w:szCs w:val="24"/>
                <w:lang w:val="en-US" w:eastAsia="zh-CN"/>
              </w:rPr>
              <w:t>应用化工技术</w:t>
            </w:r>
            <w:r>
              <w:rPr>
                <w:rFonts w:hint="eastAsia" w:ascii="宋体" w:hAnsi="宋体" w:eastAsia="宋体" w:cs="宋体"/>
                <w:sz w:val="24"/>
                <w:szCs w:val="24"/>
              </w:rPr>
              <w:t>专业的</w:t>
            </w:r>
            <w:r>
              <w:rPr>
                <w:rFonts w:hint="eastAsia" w:ascii="宋体" w:hAnsi="宋体" w:eastAsia="宋体" w:cs="宋体"/>
                <w:sz w:val="24"/>
                <w:szCs w:val="24"/>
                <w:lang w:val="en-US" w:eastAsia="zh-CN"/>
              </w:rPr>
              <w:t>专业</w:t>
            </w:r>
            <w:r>
              <w:rPr>
                <w:rFonts w:hint="eastAsia" w:ascii="宋体" w:hAnsi="宋体" w:eastAsia="宋体" w:cs="宋体"/>
                <w:sz w:val="24"/>
                <w:szCs w:val="24"/>
              </w:rPr>
              <w:t>基础</w:t>
            </w:r>
            <w:r>
              <w:rPr>
                <w:rFonts w:hint="eastAsia" w:ascii="宋体" w:hAnsi="宋体" w:eastAsia="宋体" w:cs="宋体"/>
                <w:sz w:val="24"/>
                <w:szCs w:val="24"/>
                <w:lang w:val="en-US" w:eastAsia="zh-CN"/>
              </w:rPr>
              <w:t>必修</w:t>
            </w:r>
            <w:r>
              <w:rPr>
                <w:rFonts w:hint="eastAsia" w:ascii="宋体" w:hAnsi="宋体" w:eastAsia="宋体" w:cs="宋体"/>
                <w:sz w:val="24"/>
                <w:szCs w:val="24"/>
              </w:rPr>
              <w:t>课</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通过本课程的学习，使学生熟练识别化工管路图和化工工艺流程图，能够运用计算机绘 图软件绘制有关化工管路图和化工工艺流程图。本课程将“立德树人”贯穿于课程教学全过程， 培养学生敬业、精益、专注、创新的工匠精神，成为企业所需要的专门技术技能型人才。</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本课程的主要内容：学习识图的基本知识，看懂化工设备图，绘制化工管路图和化工工艺流程图，学习计算机绘图、编辑、打印等操作命令。 </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典型化工单元设备操作与控制</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本课程3学分，共54学时（理论</w:t>
            </w:r>
            <w:r>
              <w:rPr>
                <w:rFonts w:hint="eastAsia" w:ascii="宋体" w:hAnsi="宋体" w:eastAsia="宋体" w:cs="宋体"/>
                <w:sz w:val="24"/>
                <w:szCs w:val="24"/>
                <w:lang w:val="en-US" w:eastAsia="zh-CN"/>
              </w:rPr>
              <w:t>30</w:t>
            </w:r>
            <w:r>
              <w:rPr>
                <w:rFonts w:hint="eastAsia" w:ascii="宋体" w:hAnsi="宋体" w:eastAsia="宋体" w:cs="宋体"/>
                <w:sz w:val="24"/>
                <w:szCs w:val="24"/>
              </w:rPr>
              <w:t>学时</w:t>
            </w:r>
            <w:r>
              <w:rPr>
                <w:rFonts w:hint="eastAsia" w:ascii="宋体" w:hAnsi="宋体" w:eastAsia="宋体" w:cs="宋体"/>
                <w:sz w:val="24"/>
                <w:szCs w:val="24"/>
                <w:lang w:eastAsia="zh-CN"/>
              </w:rPr>
              <w:t>，</w:t>
            </w:r>
            <w:r>
              <w:rPr>
                <w:rFonts w:hint="eastAsia" w:ascii="宋体" w:hAnsi="宋体" w:eastAsia="宋体" w:cs="宋体"/>
                <w:sz w:val="24"/>
                <w:szCs w:val="24"/>
              </w:rPr>
              <w:t>实践</w:t>
            </w:r>
            <w:r>
              <w:rPr>
                <w:rFonts w:hint="eastAsia" w:ascii="宋体" w:hAnsi="宋体" w:eastAsia="宋体" w:cs="宋体"/>
                <w:sz w:val="24"/>
                <w:szCs w:val="24"/>
                <w:lang w:val="en-US" w:eastAsia="zh-CN"/>
              </w:rPr>
              <w:t>24</w:t>
            </w:r>
            <w:r>
              <w:rPr>
                <w:rFonts w:hint="eastAsia" w:ascii="宋体" w:hAnsi="宋体" w:eastAsia="宋体" w:cs="宋体"/>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本课程是</w:t>
            </w:r>
            <w:r>
              <w:rPr>
                <w:rFonts w:hint="eastAsia" w:ascii="宋体" w:hAnsi="宋体" w:eastAsia="宋体" w:cs="宋体"/>
                <w:sz w:val="24"/>
                <w:szCs w:val="24"/>
                <w:lang w:val="en-US" w:eastAsia="zh-CN"/>
              </w:rPr>
              <w:t>应用化工技术</w:t>
            </w:r>
            <w:r>
              <w:rPr>
                <w:rFonts w:hint="eastAsia" w:ascii="宋体" w:hAnsi="宋体" w:eastAsia="宋体" w:cs="宋体"/>
                <w:sz w:val="24"/>
                <w:szCs w:val="24"/>
              </w:rPr>
              <w:t>专业的</w:t>
            </w:r>
            <w:r>
              <w:rPr>
                <w:rFonts w:hint="eastAsia" w:ascii="宋体" w:hAnsi="宋体" w:eastAsia="宋体" w:cs="宋体"/>
                <w:sz w:val="24"/>
                <w:szCs w:val="24"/>
                <w:lang w:val="en-US" w:eastAsia="zh-CN"/>
              </w:rPr>
              <w:t>专业</w:t>
            </w:r>
            <w:r>
              <w:rPr>
                <w:rFonts w:hint="eastAsia" w:ascii="宋体" w:hAnsi="宋体" w:eastAsia="宋体" w:cs="宋体"/>
                <w:sz w:val="24"/>
                <w:szCs w:val="24"/>
              </w:rPr>
              <w:t>基础</w:t>
            </w:r>
            <w:r>
              <w:rPr>
                <w:rFonts w:hint="eastAsia" w:ascii="宋体" w:hAnsi="宋体" w:eastAsia="宋体" w:cs="宋体"/>
                <w:sz w:val="24"/>
                <w:szCs w:val="24"/>
                <w:lang w:val="en-US" w:eastAsia="zh-CN"/>
              </w:rPr>
              <w:t>必修</w:t>
            </w:r>
            <w:r>
              <w:rPr>
                <w:rFonts w:hint="eastAsia" w:ascii="宋体" w:hAnsi="宋体" w:eastAsia="宋体" w:cs="宋体"/>
                <w:sz w:val="24"/>
                <w:szCs w:val="24"/>
              </w:rPr>
              <w:t>课</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 xml:space="preserve">通过本课程的学习，结合化工单元操作的学习，对典型化工单元过程进行基本技能的训练，使学生进一步掌握化工单元操作知识，进一步掌握典型化工设备的结构与性能，进一步加强实验数据的处理能力和化工计算的能力。本课程将“立德树人”贯穿于课程教学全过程，培养学生具有职业情怀和执着敬业的精神，从而更加热爱自己的职业和岗位，具有高度的责任心和特别的敬业精神。 </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本课程的主要内容：管道输送、传热、蒸馏、吸收、干燥等化工单元操作；化工单元操作的基本原理、基本计算；典型化工设备性能、结构与操作；单元操作设备的工艺计算。</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15.化工环保概论</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本课程</w:t>
            </w:r>
            <w:r>
              <w:rPr>
                <w:rFonts w:hint="eastAsia" w:ascii="宋体" w:hAnsi="宋体" w:eastAsia="宋体" w:cs="宋体"/>
                <w:sz w:val="24"/>
                <w:szCs w:val="24"/>
                <w:lang w:val="en-US" w:eastAsia="zh-CN"/>
              </w:rPr>
              <w:t>2</w:t>
            </w:r>
            <w:r>
              <w:rPr>
                <w:rFonts w:hint="eastAsia" w:ascii="宋体" w:hAnsi="宋体" w:eastAsia="宋体" w:cs="宋体"/>
                <w:sz w:val="24"/>
                <w:szCs w:val="24"/>
              </w:rPr>
              <w:t>学分，共</w:t>
            </w:r>
            <w:r>
              <w:rPr>
                <w:rFonts w:hint="eastAsia" w:ascii="宋体" w:hAnsi="宋体" w:eastAsia="宋体" w:cs="宋体"/>
                <w:sz w:val="24"/>
                <w:szCs w:val="24"/>
                <w:lang w:val="en-US" w:eastAsia="zh-CN"/>
              </w:rPr>
              <w:t>36</w:t>
            </w:r>
            <w:r>
              <w:rPr>
                <w:rFonts w:hint="eastAsia" w:ascii="宋体" w:hAnsi="宋体" w:eastAsia="宋体" w:cs="宋体"/>
                <w:sz w:val="24"/>
                <w:szCs w:val="24"/>
              </w:rPr>
              <w:t>学时（理论</w:t>
            </w:r>
            <w:r>
              <w:rPr>
                <w:rFonts w:hint="eastAsia" w:ascii="宋体" w:hAnsi="宋体" w:eastAsia="宋体" w:cs="宋体"/>
                <w:sz w:val="24"/>
                <w:szCs w:val="24"/>
                <w:lang w:val="en-US" w:eastAsia="zh-CN"/>
              </w:rPr>
              <w:t>36</w:t>
            </w:r>
            <w:r>
              <w:rPr>
                <w:rFonts w:hint="eastAsia" w:ascii="宋体" w:hAnsi="宋体" w:eastAsia="宋体" w:cs="宋体"/>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本课程是</w:t>
            </w:r>
            <w:r>
              <w:rPr>
                <w:rFonts w:hint="eastAsia" w:ascii="宋体" w:hAnsi="宋体" w:eastAsia="宋体" w:cs="宋体"/>
                <w:sz w:val="24"/>
                <w:szCs w:val="24"/>
                <w:lang w:val="en-US" w:eastAsia="zh-CN"/>
              </w:rPr>
              <w:t>应用化工技术</w:t>
            </w:r>
            <w:r>
              <w:rPr>
                <w:rFonts w:hint="eastAsia" w:ascii="宋体" w:hAnsi="宋体" w:eastAsia="宋体" w:cs="宋体"/>
                <w:sz w:val="24"/>
                <w:szCs w:val="24"/>
              </w:rPr>
              <w:t>专业的</w:t>
            </w:r>
            <w:r>
              <w:rPr>
                <w:rFonts w:hint="eastAsia" w:ascii="宋体" w:hAnsi="宋体" w:eastAsia="宋体" w:cs="宋体"/>
                <w:sz w:val="24"/>
                <w:szCs w:val="24"/>
                <w:lang w:val="en-US" w:eastAsia="zh-CN"/>
              </w:rPr>
              <w:t>专业</w:t>
            </w:r>
            <w:r>
              <w:rPr>
                <w:rFonts w:hint="eastAsia" w:ascii="宋体" w:hAnsi="宋体" w:eastAsia="宋体" w:cs="宋体"/>
                <w:sz w:val="24"/>
                <w:szCs w:val="24"/>
              </w:rPr>
              <w:t>基础</w:t>
            </w:r>
            <w:r>
              <w:rPr>
                <w:rFonts w:hint="eastAsia" w:ascii="宋体" w:hAnsi="宋体" w:eastAsia="宋体" w:cs="宋体"/>
                <w:sz w:val="24"/>
                <w:szCs w:val="24"/>
                <w:lang w:val="en-US" w:eastAsia="zh-CN"/>
              </w:rPr>
              <w:t>选修</w:t>
            </w:r>
            <w:r>
              <w:rPr>
                <w:rFonts w:hint="eastAsia" w:ascii="宋体" w:hAnsi="宋体" w:eastAsia="宋体" w:cs="宋体"/>
                <w:sz w:val="24"/>
                <w:szCs w:val="24"/>
              </w:rPr>
              <w:t>课</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 xml:space="preserve">通过本课程的学习，使学生了解和掌握化工生产中“三废”处理的基本知识和基本方法，引导学生树立正确的社会主义核心价值观，引导学生树立为社会主义事业努力奋斗的自觉 意识，培养具有优秀的职业道德的学生。 </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课程的主要内容：环境与环境保护的基本知识，生态学基础知识，资源与能源，化工生产的大气污染防治技术，水污染的防治技术，化工固体废弃物处理与处置技术，其他污染的特征与防治，环境管理与环境法规，环境监测与评价，环境可持续发展，清洁生产与绿色技术的基本内容。</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16.化工安全技术</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本课程</w:t>
            </w:r>
            <w:r>
              <w:rPr>
                <w:rFonts w:hint="eastAsia" w:ascii="宋体" w:hAnsi="宋体" w:eastAsia="宋体" w:cs="宋体"/>
                <w:sz w:val="24"/>
                <w:szCs w:val="24"/>
                <w:lang w:val="en-US" w:eastAsia="zh-CN"/>
              </w:rPr>
              <w:t>4</w:t>
            </w:r>
            <w:r>
              <w:rPr>
                <w:rFonts w:hint="eastAsia" w:ascii="宋体" w:hAnsi="宋体" w:eastAsia="宋体" w:cs="宋体"/>
                <w:sz w:val="24"/>
                <w:szCs w:val="24"/>
              </w:rPr>
              <w:t>学分，共</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48</w:t>
            </w:r>
            <w:r>
              <w:rPr>
                <w:rFonts w:hint="eastAsia" w:ascii="宋体" w:hAnsi="宋体" w:eastAsia="宋体" w:cs="宋体"/>
                <w:sz w:val="24"/>
                <w:szCs w:val="24"/>
              </w:rPr>
              <w:t>学时</w:t>
            </w:r>
            <w:r>
              <w:rPr>
                <w:rFonts w:hint="eastAsia" w:ascii="宋体" w:hAnsi="宋体" w:eastAsia="宋体" w:cs="宋体"/>
                <w:sz w:val="24"/>
                <w:szCs w:val="24"/>
                <w:lang w:eastAsia="zh-CN"/>
              </w:rPr>
              <w:t>，</w:t>
            </w:r>
            <w:r>
              <w:rPr>
                <w:rFonts w:hint="eastAsia" w:ascii="宋体" w:hAnsi="宋体" w:eastAsia="宋体" w:cs="宋体"/>
                <w:sz w:val="24"/>
                <w:szCs w:val="24"/>
              </w:rPr>
              <w:t>实践</w:t>
            </w:r>
            <w:r>
              <w:rPr>
                <w:rFonts w:hint="eastAsia" w:ascii="宋体" w:hAnsi="宋体" w:eastAsia="宋体" w:cs="宋体"/>
                <w:sz w:val="24"/>
                <w:szCs w:val="24"/>
                <w:lang w:val="en-US" w:eastAsia="zh-CN"/>
              </w:rPr>
              <w:t>24</w:t>
            </w:r>
            <w:r>
              <w:rPr>
                <w:rFonts w:hint="eastAsia" w:ascii="宋体" w:hAnsi="宋体" w:eastAsia="宋体" w:cs="宋体"/>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本课程是</w:t>
            </w:r>
            <w:r>
              <w:rPr>
                <w:rFonts w:hint="eastAsia" w:ascii="宋体" w:hAnsi="宋体" w:eastAsia="宋体" w:cs="宋体"/>
                <w:sz w:val="24"/>
                <w:szCs w:val="24"/>
                <w:lang w:val="en-US" w:eastAsia="zh-CN"/>
              </w:rPr>
              <w:t>应用化工技术</w:t>
            </w:r>
            <w:r>
              <w:rPr>
                <w:rFonts w:hint="eastAsia" w:ascii="宋体" w:hAnsi="宋体" w:eastAsia="宋体" w:cs="宋体"/>
                <w:sz w:val="24"/>
                <w:szCs w:val="24"/>
              </w:rPr>
              <w:t>专业的</w:t>
            </w:r>
            <w:r>
              <w:rPr>
                <w:rFonts w:hint="eastAsia" w:ascii="宋体" w:hAnsi="宋体" w:eastAsia="宋体" w:cs="宋体"/>
                <w:sz w:val="24"/>
                <w:szCs w:val="24"/>
                <w:lang w:val="en-US" w:eastAsia="zh-CN"/>
              </w:rPr>
              <w:t>专业必修</w:t>
            </w:r>
            <w:r>
              <w:rPr>
                <w:rFonts w:hint="eastAsia" w:ascii="宋体" w:hAnsi="宋体" w:eastAsia="宋体" w:cs="宋体"/>
                <w:sz w:val="24"/>
                <w:szCs w:val="24"/>
              </w:rPr>
              <w:t>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通过本课程的学习，使学生了解化工安全生产的法规，掌握化工安全生产的基本知识和化工安全生产的方法，预防各类安全事故的发生。本课程将“工匠精神”注入安全生产的每一个细节，每一个环节，用科学系统的专业知识指导工作，拓宽安全工作思路，找准安全生产过程中的各种危险源，防止事故的发生，从而实现长治久安。 </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本课程的主要内容：化工发展对安全的要求，化工厂设计与操作安全，燃烧和爆炸与防火防爆安全技术，职业毒害与防毒措施，压力容器和机电设备安全，工业腐蚀与预防措施，系统安全与评估。 </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17.化工设备使用与维护</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w:t>
            </w:r>
            <w:r>
              <w:rPr>
                <w:rFonts w:hint="eastAsia" w:ascii="宋体" w:hAnsi="宋体" w:eastAsia="宋体" w:cs="宋体"/>
                <w:sz w:val="24"/>
                <w:szCs w:val="24"/>
                <w:lang w:val="en-US" w:eastAsia="zh-CN"/>
              </w:rPr>
              <w:t>4</w:t>
            </w:r>
            <w:r>
              <w:rPr>
                <w:rFonts w:hint="eastAsia" w:ascii="宋体" w:hAnsi="宋体" w:eastAsia="宋体" w:cs="宋体"/>
                <w:sz w:val="24"/>
                <w:szCs w:val="24"/>
              </w:rPr>
              <w:t>学分，共</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48</w:t>
            </w:r>
            <w:r>
              <w:rPr>
                <w:rFonts w:hint="eastAsia" w:ascii="宋体" w:hAnsi="宋体" w:eastAsia="宋体" w:cs="宋体"/>
                <w:sz w:val="24"/>
                <w:szCs w:val="24"/>
              </w:rPr>
              <w:t>学时</w:t>
            </w:r>
            <w:r>
              <w:rPr>
                <w:rFonts w:hint="eastAsia" w:ascii="宋体" w:hAnsi="宋体" w:eastAsia="宋体" w:cs="宋体"/>
                <w:sz w:val="24"/>
                <w:szCs w:val="24"/>
                <w:lang w:eastAsia="zh-CN"/>
              </w:rPr>
              <w:t>，</w:t>
            </w:r>
            <w:r>
              <w:rPr>
                <w:rFonts w:hint="eastAsia" w:ascii="宋体" w:hAnsi="宋体" w:eastAsia="宋体" w:cs="宋体"/>
                <w:sz w:val="24"/>
                <w:szCs w:val="24"/>
              </w:rPr>
              <w:t>实践</w:t>
            </w:r>
            <w:r>
              <w:rPr>
                <w:rFonts w:hint="eastAsia" w:ascii="宋体" w:hAnsi="宋体" w:eastAsia="宋体" w:cs="宋体"/>
                <w:sz w:val="24"/>
                <w:szCs w:val="24"/>
                <w:lang w:val="en-US" w:eastAsia="zh-CN"/>
              </w:rPr>
              <w:t>24</w:t>
            </w:r>
            <w:r>
              <w:rPr>
                <w:rFonts w:hint="eastAsia" w:ascii="宋体" w:hAnsi="宋体" w:eastAsia="宋体" w:cs="宋体"/>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本课程是</w:t>
            </w:r>
            <w:r>
              <w:rPr>
                <w:rFonts w:hint="eastAsia" w:ascii="宋体" w:hAnsi="宋体" w:eastAsia="宋体" w:cs="宋体"/>
                <w:sz w:val="24"/>
                <w:szCs w:val="24"/>
                <w:lang w:val="en-US" w:eastAsia="zh-CN"/>
              </w:rPr>
              <w:t>应用化工技术</w:t>
            </w:r>
            <w:r>
              <w:rPr>
                <w:rFonts w:hint="eastAsia" w:ascii="宋体" w:hAnsi="宋体" w:eastAsia="宋体" w:cs="宋体"/>
                <w:sz w:val="24"/>
                <w:szCs w:val="24"/>
              </w:rPr>
              <w:t>专业的</w:t>
            </w:r>
            <w:r>
              <w:rPr>
                <w:rFonts w:hint="eastAsia" w:ascii="宋体" w:hAnsi="宋体" w:eastAsia="宋体" w:cs="宋体"/>
                <w:sz w:val="24"/>
                <w:szCs w:val="24"/>
                <w:lang w:val="en-US" w:eastAsia="zh-CN"/>
              </w:rPr>
              <w:t>专业必修</w:t>
            </w:r>
            <w:r>
              <w:rPr>
                <w:rFonts w:hint="eastAsia" w:ascii="宋体" w:hAnsi="宋体" w:eastAsia="宋体" w:cs="宋体"/>
                <w:sz w:val="24"/>
                <w:szCs w:val="24"/>
              </w:rPr>
              <w:t>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通过本课程的学习，使学生掌握典型化工设备的使用和维护技术，培养学生精益求精的工匠精神，引导学生树立正确的社会主义核心价值观，引导学生树立为社会主义事业努力奋斗的自觉意识，培养具有优秀的职业道德的学生。 </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本课程的主要内容：化工设备的应用及安全使用技能；设备常用材质及相关的基础知识； </w:t>
            </w:r>
          </w:p>
          <w:p>
            <w:pPr>
              <w:keepNext w:val="0"/>
              <w:keepLines w:val="0"/>
              <w:pageBreakBefore w:val="0"/>
              <w:widowControl w:val="0"/>
              <w:kinsoku/>
              <w:wordWrap/>
              <w:overflowPunct/>
              <w:topLinePunct w:val="0"/>
              <w:autoSpaceDE w:val="0"/>
              <w:autoSpaceDN/>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典型化工工艺设备及常用转动设备的构造、工作原理、主要性能参数、使用和维护。</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18.化学反应过程及设备</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w:t>
            </w:r>
            <w:r>
              <w:rPr>
                <w:rFonts w:hint="eastAsia" w:ascii="宋体" w:hAnsi="宋体" w:eastAsia="宋体" w:cs="宋体"/>
                <w:sz w:val="24"/>
                <w:szCs w:val="24"/>
                <w:lang w:val="en-US" w:eastAsia="zh-CN"/>
              </w:rPr>
              <w:t>4</w:t>
            </w:r>
            <w:r>
              <w:rPr>
                <w:rFonts w:hint="eastAsia" w:ascii="宋体" w:hAnsi="宋体" w:eastAsia="宋体" w:cs="宋体"/>
                <w:sz w:val="24"/>
                <w:szCs w:val="24"/>
              </w:rPr>
              <w:t>学分，共</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48</w:t>
            </w:r>
            <w:r>
              <w:rPr>
                <w:rFonts w:hint="eastAsia" w:ascii="宋体" w:hAnsi="宋体" w:eastAsia="宋体" w:cs="宋体"/>
                <w:sz w:val="24"/>
                <w:szCs w:val="24"/>
              </w:rPr>
              <w:t>学时</w:t>
            </w:r>
            <w:r>
              <w:rPr>
                <w:rFonts w:hint="eastAsia" w:ascii="宋体" w:hAnsi="宋体" w:eastAsia="宋体" w:cs="宋体"/>
                <w:sz w:val="24"/>
                <w:szCs w:val="24"/>
                <w:lang w:eastAsia="zh-CN"/>
              </w:rPr>
              <w:t>，</w:t>
            </w:r>
            <w:r>
              <w:rPr>
                <w:rFonts w:hint="eastAsia" w:ascii="宋体" w:hAnsi="宋体" w:eastAsia="宋体" w:cs="宋体"/>
                <w:sz w:val="24"/>
                <w:szCs w:val="24"/>
              </w:rPr>
              <w:t>实践</w:t>
            </w:r>
            <w:r>
              <w:rPr>
                <w:rFonts w:hint="eastAsia" w:ascii="宋体" w:hAnsi="宋体" w:eastAsia="宋体" w:cs="宋体"/>
                <w:sz w:val="24"/>
                <w:szCs w:val="24"/>
                <w:lang w:val="en-US" w:eastAsia="zh-CN"/>
              </w:rPr>
              <w:t>24</w:t>
            </w:r>
            <w:r>
              <w:rPr>
                <w:rFonts w:hint="eastAsia" w:ascii="宋体" w:hAnsi="宋体" w:eastAsia="宋体" w:cs="宋体"/>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本课程是</w:t>
            </w:r>
            <w:r>
              <w:rPr>
                <w:rFonts w:hint="eastAsia" w:ascii="宋体" w:hAnsi="宋体" w:eastAsia="宋体" w:cs="宋体"/>
                <w:sz w:val="24"/>
                <w:szCs w:val="24"/>
                <w:lang w:val="en-US" w:eastAsia="zh-CN"/>
              </w:rPr>
              <w:t>应用化工技术</w:t>
            </w:r>
            <w:r>
              <w:rPr>
                <w:rFonts w:hint="eastAsia" w:ascii="宋体" w:hAnsi="宋体" w:eastAsia="宋体" w:cs="宋体"/>
                <w:sz w:val="24"/>
                <w:szCs w:val="24"/>
              </w:rPr>
              <w:t>专业的</w:t>
            </w:r>
            <w:r>
              <w:rPr>
                <w:rFonts w:hint="eastAsia" w:ascii="宋体" w:hAnsi="宋体" w:eastAsia="宋体" w:cs="宋体"/>
                <w:sz w:val="24"/>
                <w:szCs w:val="24"/>
                <w:lang w:val="en-US" w:eastAsia="zh-CN"/>
              </w:rPr>
              <w:t>专业必修</w:t>
            </w:r>
            <w:r>
              <w:rPr>
                <w:rFonts w:hint="eastAsia" w:ascii="宋体" w:hAnsi="宋体" w:eastAsia="宋体" w:cs="宋体"/>
                <w:sz w:val="24"/>
                <w:szCs w:val="24"/>
              </w:rPr>
              <w:t>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通过本课程的学习，增强学生的工程观念，提高学生分析和解决实际问题的能力，并能具备进行初步工艺计算和反应器选型的能力，培养学生精益求精的工匠精神，使学生走上工作岗位后能较快地适应实际化工生产操作。 </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本课程的主要内容：反应动力学基础、各类反应器及其特点、结构和工业应用，各种常见反应器的日常运行、操作和管理。 </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19.典型化工产品生产技术</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w:t>
            </w:r>
            <w:r>
              <w:rPr>
                <w:rFonts w:hint="eastAsia" w:ascii="宋体" w:hAnsi="宋体" w:eastAsia="宋体" w:cs="宋体"/>
                <w:sz w:val="24"/>
                <w:szCs w:val="24"/>
                <w:lang w:val="en-US" w:eastAsia="zh-CN"/>
              </w:rPr>
              <w:t>4</w:t>
            </w:r>
            <w:r>
              <w:rPr>
                <w:rFonts w:hint="eastAsia" w:ascii="宋体" w:hAnsi="宋体" w:eastAsia="宋体" w:cs="宋体"/>
                <w:sz w:val="24"/>
                <w:szCs w:val="24"/>
              </w:rPr>
              <w:t>学分，共</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48</w:t>
            </w:r>
            <w:r>
              <w:rPr>
                <w:rFonts w:hint="eastAsia" w:ascii="宋体" w:hAnsi="宋体" w:eastAsia="宋体" w:cs="宋体"/>
                <w:sz w:val="24"/>
                <w:szCs w:val="24"/>
              </w:rPr>
              <w:t>学时</w:t>
            </w:r>
            <w:r>
              <w:rPr>
                <w:rFonts w:hint="eastAsia" w:ascii="宋体" w:hAnsi="宋体" w:eastAsia="宋体" w:cs="宋体"/>
                <w:sz w:val="24"/>
                <w:szCs w:val="24"/>
                <w:lang w:eastAsia="zh-CN"/>
              </w:rPr>
              <w:t>，</w:t>
            </w:r>
            <w:r>
              <w:rPr>
                <w:rFonts w:hint="eastAsia" w:ascii="宋体" w:hAnsi="宋体" w:eastAsia="宋体" w:cs="宋体"/>
                <w:sz w:val="24"/>
                <w:szCs w:val="24"/>
              </w:rPr>
              <w:t>实践</w:t>
            </w:r>
            <w:r>
              <w:rPr>
                <w:rFonts w:hint="eastAsia" w:ascii="宋体" w:hAnsi="宋体" w:eastAsia="宋体" w:cs="宋体"/>
                <w:sz w:val="24"/>
                <w:szCs w:val="24"/>
                <w:lang w:val="en-US" w:eastAsia="zh-CN"/>
              </w:rPr>
              <w:t>24</w:t>
            </w:r>
            <w:r>
              <w:rPr>
                <w:rFonts w:hint="eastAsia" w:ascii="宋体" w:hAnsi="宋体" w:eastAsia="宋体" w:cs="宋体"/>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本课程是</w:t>
            </w:r>
            <w:r>
              <w:rPr>
                <w:rFonts w:hint="eastAsia" w:ascii="宋体" w:hAnsi="宋体" w:eastAsia="宋体" w:cs="宋体"/>
                <w:sz w:val="24"/>
                <w:szCs w:val="24"/>
                <w:lang w:val="en-US" w:eastAsia="zh-CN"/>
              </w:rPr>
              <w:t>应用化工技术</w:t>
            </w:r>
            <w:r>
              <w:rPr>
                <w:rFonts w:hint="eastAsia" w:ascii="宋体" w:hAnsi="宋体" w:eastAsia="宋体" w:cs="宋体"/>
                <w:sz w:val="24"/>
                <w:szCs w:val="24"/>
              </w:rPr>
              <w:t>专业的</w:t>
            </w:r>
            <w:r>
              <w:rPr>
                <w:rFonts w:hint="eastAsia" w:ascii="宋体" w:hAnsi="宋体" w:eastAsia="宋体" w:cs="宋体"/>
                <w:sz w:val="24"/>
                <w:szCs w:val="24"/>
                <w:lang w:val="en-US" w:eastAsia="zh-CN"/>
              </w:rPr>
              <w:t>专业必修</w:t>
            </w:r>
            <w:r>
              <w:rPr>
                <w:rFonts w:hint="eastAsia" w:ascii="宋体" w:hAnsi="宋体" w:eastAsia="宋体" w:cs="宋体"/>
                <w:sz w:val="24"/>
                <w:szCs w:val="24"/>
              </w:rPr>
              <w:t>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通过本课程的学习，让学生了解</w:t>
            </w:r>
            <w:r>
              <w:rPr>
                <w:rFonts w:hint="eastAsia" w:ascii="宋体" w:hAnsi="宋体" w:eastAsia="宋体" w:cs="宋体"/>
                <w:color w:val="000000"/>
                <w:sz w:val="24"/>
                <w:szCs w:val="24"/>
                <w:lang w:val="en-US" w:eastAsia="zh-CN"/>
              </w:rPr>
              <w:t>典型无机化工产品和有机化工产品的生产相关知识、实施过程等。</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本课程的主要内容：化工生产基本知识、合成气生产技术、合成气净化与精制技术、合成氨生产技术、尿素生产技术、乙酸生产技术、甲基丙烯酸甲酯生产技术、丙烯腈生产技术和苯乙烯生产技术等。</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20.化工产品分析检测</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w:t>
            </w:r>
            <w:r>
              <w:rPr>
                <w:rFonts w:hint="eastAsia" w:ascii="宋体" w:hAnsi="宋体" w:eastAsia="宋体" w:cs="宋体"/>
                <w:sz w:val="24"/>
                <w:szCs w:val="24"/>
                <w:lang w:val="en-US" w:eastAsia="zh-CN"/>
              </w:rPr>
              <w:t>4</w:t>
            </w:r>
            <w:r>
              <w:rPr>
                <w:rFonts w:hint="eastAsia" w:ascii="宋体" w:hAnsi="宋体" w:eastAsia="宋体" w:cs="宋体"/>
                <w:sz w:val="24"/>
                <w:szCs w:val="24"/>
              </w:rPr>
              <w:t>学分，共</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48</w:t>
            </w:r>
            <w:r>
              <w:rPr>
                <w:rFonts w:hint="eastAsia" w:ascii="宋体" w:hAnsi="宋体" w:eastAsia="宋体" w:cs="宋体"/>
                <w:sz w:val="24"/>
                <w:szCs w:val="24"/>
              </w:rPr>
              <w:t>学时</w:t>
            </w:r>
            <w:r>
              <w:rPr>
                <w:rFonts w:hint="eastAsia" w:ascii="宋体" w:hAnsi="宋体" w:eastAsia="宋体" w:cs="宋体"/>
                <w:sz w:val="24"/>
                <w:szCs w:val="24"/>
                <w:lang w:eastAsia="zh-CN"/>
              </w:rPr>
              <w:t>，</w:t>
            </w:r>
            <w:r>
              <w:rPr>
                <w:rFonts w:hint="eastAsia" w:ascii="宋体" w:hAnsi="宋体" w:eastAsia="宋体" w:cs="宋体"/>
                <w:sz w:val="24"/>
                <w:szCs w:val="24"/>
              </w:rPr>
              <w:t>实践</w:t>
            </w:r>
            <w:r>
              <w:rPr>
                <w:rFonts w:hint="eastAsia" w:ascii="宋体" w:hAnsi="宋体" w:eastAsia="宋体" w:cs="宋体"/>
                <w:sz w:val="24"/>
                <w:szCs w:val="24"/>
                <w:lang w:val="en-US" w:eastAsia="zh-CN"/>
              </w:rPr>
              <w:t>24</w:t>
            </w:r>
            <w:r>
              <w:rPr>
                <w:rFonts w:hint="eastAsia" w:ascii="宋体" w:hAnsi="宋体" w:eastAsia="宋体" w:cs="宋体"/>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本课程是</w:t>
            </w:r>
            <w:r>
              <w:rPr>
                <w:rFonts w:hint="eastAsia" w:ascii="宋体" w:hAnsi="宋体" w:eastAsia="宋体" w:cs="宋体"/>
                <w:sz w:val="24"/>
                <w:szCs w:val="24"/>
                <w:lang w:val="en-US" w:eastAsia="zh-CN"/>
              </w:rPr>
              <w:t>应用化工技术</w:t>
            </w:r>
            <w:r>
              <w:rPr>
                <w:rFonts w:hint="eastAsia" w:ascii="宋体" w:hAnsi="宋体" w:eastAsia="宋体" w:cs="宋体"/>
                <w:sz w:val="24"/>
                <w:szCs w:val="24"/>
              </w:rPr>
              <w:t>专业的</w:t>
            </w:r>
            <w:r>
              <w:rPr>
                <w:rFonts w:hint="eastAsia" w:ascii="宋体" w:hAnsi="宋体" w:eastAsia="宋体" w:cs="宋体"/>
                <w:sz w:val="24"/>
                <w:szCs w:val="24"/>
                <w:lang w:val="en-US" w:eastAsia="zh-CN"/>
              </w:rPr>
              <w:t>专业必修</w:t>
            </w:r>
            <w:r>
              <w:rPr>
                <w:rFonts w:hint="eastAsia" w:ascii="宋体" w:hAnsi="宋体" w:eastAsia="宋体" w:cs="宋体"/>
                <w:sz w:val="24"/>
                <w:szCs w:val="24"/>
              </w:rPr>
              <w:t>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通过本课程的学习，使学生掌握典型工业产品的分析检测技术，能够根据样品性质正确选择分析方法，培养严谨认真、实事求是的科学态度和良好的职业道德</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本课程的主要内容：学习工业生产中对产品的质量、原材料及半成品进行测定的分析方法，具体内容包括水、煤、硅酸盐、气、钢铁、化肥、农药、化工等领域典型产品质量的分析及其他基础工业部门的相关分析检测技术</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21.专业英语</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本课程学</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分，共</w:t>
            </w: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rPr>
              <w:t>学时（理论</w:t>
            </w: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本课程是</w:t>
            </w:r>
            <w:r>
              <w:rPr>
                <w:rFonts w:hint="eastAsia" w:ascii="宋体" w:hAnsi="宋体" w:eastAsia="宋体" w:cs="宋体"/>
                <w:sz w:val="24"/>
                <w:szCs w:val="24"/>
                <w:lang w:val="en-US" w:eastAsia="zh-CN"/>
              </w:rPr>
              <w:t>应用化工技术</w:t>
            </w:r>
            <w:r>
              <w:rPr>
                <w:rFonts w:hint="eastAsia" w:ascii="宋体" w:hAnsi="宋体" w:eastAsia="宋体" w:cs="宋体"/>
                <w:sz w:val="24"/>
                <w:szCs w:val="24"/>
              </w:rPr>
              <w:t>专业的</w:t>
            </w:r>
            <w:r>
              <w:rPr>
                <w:rFonts w:hint="eastAsia" w:ascii="宋体" w:hAnsi="宋体" w:eastAsia="宋体" w:cs="宋体"/>
                <w:sz w:val="24"/>
                <w:szCs w:val="24"/>
                <w:lang w:val="en-US" w:eastAsia="zh-CN"/>
              </w:rPr>
              <w:t>专业必修</w:t>
            </w:r>
            <w:r>
              <w:rPr>
                <w:rFonts w:hint="eastAsia" w:ascii="宋体" w:hAnsi="宋体" w:eastAsia="宋体" w:cs="宋体"/>
                <w:sz w:val="24"/>
                <w:szCs w:val="24"/>
              </w:rPr>
              <w:t>课</w:t>
            </w:r>
            <w:r>
              <w:rPr>
                <w:rFonts w:hint="eastAsia" w:ascii="宋体" w:hAnsi="宋体" w:eastAsia="宋体" w:cs="宋体"/>
                <w:sz w:val="24"/>
                <w:szCs w:val="24"/>
                <w:lang w:eastAsia="zh-CN"/>
              </w:rPr>
              <w:t>，</w:t>
            </w:r>
            <w:r>
              <w:rPr>
                <w:rFonts w:hint="eastAsia" w:ascii="宋体" w:hAnsi="宋体" w:eastAsia="宋体" w:cs="宋体"/>
                <w:color w:val="auto"/>
                <w:sz w:val="24"/>
                <w:szCs w:val="24"/>
              </w:rPr>
              <w:t>主要内容包括：500个左右</w:t>
            </w:r>
            <w:r>
              <w:rPr>
                <w:rFonts w:hint="eastAsia" w:ascii="宋体" w:hAnsi="宋体" w:eastAsia="宋体" w:cs="宋体"/>
                <w:sz w:val="24"/>
                <w:szCs w:val="24"/>
                <w:lang w:val="en-US" w:eastAsia="zh-CN"/>
              </w:rPr>
              <w:t>应用化工技术</w:t>
            </w:r>
            <w:r>
              <w:rPr>
                <w:rFonts w:hint="eastAsia" w:ascii="宋体" w:hAnsi="宋体" w:eastAsia="宋体" w:cs="宋体"/>
                <w:color w:val="auto"/>
                <w:sz w:val="24"/>
                <w:szCs w:val="24"/>
              </w:rPr>
              <w:t>专业英语常用词汇和专业术语；基本英语语法规则的学习；</w:t>
            </w:r>
            <w:r>
              <w:rPr>
                <w:rFonts w:hint="eastAsia" w:ascii="宋体" w:hAnsi="宋体" w:eastAsia="宋体" w:cs="宋体"/>
                <w:sz w:val="24"/>
                <w:szCs w:val="24"/>
                <w:lang w:val="en-US" w:eastAsia="zh-CN"/>
              </w:rPr>
              <w:t>应用化工技术</w:t>
            </w:r>
            <w:r>
              <w:rPr>
                <w:rFonts w:hint="eastAsia" w:ascii="宋体" w:hAnsi="宋体" w:eastAsia="宋体" w:cs="宋体"/>
                <w:color w:val="auto"/>
                <w:sz w:val="24"/>
                <w:szCs w:val="24"/>
              </w:rPr>
              <w:t>专业知识综述文献等内容。</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22.煤化学</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本课程</w:t>
            </w:r>
            <w:r>
              <w:rPr>
                <w:rFonts w:hint="eastAsia" w:ascii="宋体" w:hAnsi="宋体" w:eastAsia="宋体" w:cs="宋体"/>
                <w:sz w:val="24"/>
                <w:szCs w:val="24"/>
                <w:lang w:val="en-US" w:eastAsia="zh-CN"/>
              </w:rPr>
              <w:t>2</w:t>
            </w:r>
            <w:r>
              <w:rPr>
                <w:rFonts w:hint="eastAsia" w:ascii="宋体" w:hAnsi="宋体" w:eastAsia="宋体" w:cs="宋体"/>
                <w:sz w:val="24"/>
                <w:szCs w:val="24"/>
              </w:rPr>
              <w:t>学分，共</w:t>
            </w:r>
            <w:r>
              <w:rPr>
                <w:rFonts w:hint="eastAsia" w:ascii="宋体" w:hAnsi="宋体" w:eastAsia="宋体" w:cs="宋体"/>
                <w:sz w:val="24"/>
                <w:szCs w:val="24"/>
                <w:lang w:val="en-US" w:eastAsia="zh-CN"/>
              </w:rPr>
              <w:t>36</w:t>
            </w:r>
            <w:r>
              <w:rPr>
                <w:rFonts w:hint="eastAsia" w:ascii="宋体" w:hAnsi="宋体" w:eastAsia="宋体" w:cs="宋体"/>
                <w:sz w:val="24"/>
                <w:szCs w:val="24"/>
              </w:rPr>
              <w:t>学时（理论</w:t>
            </w:r>
            <w:r>
              <w:rPr>
                <w:rFonts w:hint="eastAsia" w:ascii="宋体" w:hAnsi="宋体" w:eastAsia="宋体" w:cs="宋体"/>
                <w:sz w:val="24"/>
                <w:szCs w:val="24"/>
                <w:lang w:val="en-US" w:eastAsia="zh-CN"/>
              </w:rPr>
              <w:t>36</w:t>
            </w:r>
            <w:r>
              <w:rPr>
                <w:rFonts w:hint="eastAsia" w:ascii="宋体" w:hAnsi="宋体" w:eastAsia="宋体" w:cs="宋体"/>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本课程是</w:t>
            </w:r>
            <w:r>
              <w:rPr>
                <w:rFonts w:hint="eastAsia" w:ascii="宋体" w:hAnsi="宋体" w:eastAsia="宋体" w:cs="宋体"/>
                <w:sz w:val="24"/>
                <w:szCs w:val="24"/>
                <w:lang w:val="en-US" w:eastAsia="zh-CN"/>
              </w:rPr>
              <w:t>应用化工技术</w:t>
            </w:r>
            <w:r>
              <w:rPr>
                <w:rFonts w:hint="eastAsia" w:ascii="宋体" w:hAnsi="宋体" w:eastAsia="宋体" w:cs="宋体"/>
                <w:sz w:val="24"/>
                <w:szCs w:val="24"/>
              </w:rPr>
              <w:t>专业的</w:t>
            </w:r>
            <w:r>
              <w:rPr>
                <w:rFonts w:hint="eastAsia" w:ascii="宋体" w:hAnsi="宋体" w:eastAsia="宋体" w:cs="宋体"/>
                <w:sz w:val="24"/>
                <w:szCs w:val="24"/>
                <w:lang w:val="en-US" w:eastAsia="zh-CN"/>
              </w:rPr>
              <w:t>专业</w:t>
            </w:r>
            <w:r>
              <w:rPr>
                <w:rFonts w:hint="eastAsia" w:ascii="宋体" w:hAnsi="宋体" w:eastAsia="宋体" w:cs="宋体"/>
                <w:sz w:val="24"/>
                <w:szCs w:val="24"/>
              </w:rPr>
              <w:t>基础</w:t>
            </w:r>
            <w:r>
              <w:rPr>
                <w:rFonts w:hint="eastAsia" w:ascii="宋体" w:hAnsi="宋体" w:eastAsia="宋体" w:cs="宋体"/>
                <w:sz w:val="24"/>
                <w:szCs w:val="24"/>
                <w:lang w:val="en-US" w:eastAsia="zh-CN"/>
              </w:rPr>
              <w:t>选修</w:t>
            </w:r>
            <w:r>
              <w:rPr>
                <w:rFonts w:hint="eastAsia" w:ascii="宋体" w:hAnsi="宋体" w:eastAsia="宋体" w:cs="宋体"/>
                <w:sz w:val="24"/>
                <w:szCs w:val="24"/>
              </w:rPr>
              <w:t>课</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通过本课程的学习，使学生掌握以煤的大分子结构理论为核心、煤的组成和性质为内涵的煤化学知识体系及其相互关系的规律，以及煤炭转化工艺的基本常识等，并引导学生养成严谨求实的科学态度和科学精神，以及追求真理、坚持真理、建立基于事实的科学世界观。</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本课程的主要内容：煤的特征和生成、工业分析和元素分析、煤的有机质的结构、工艺性质、分类及煤质评价、煤的综合利用等内容</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江西红色文化（专）</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本课程2学分，共36学时（理论20学时，实践16学时），开设一学期。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课程是江西开放大学本科各专业开设的必修课程，属于思政教育课程。本课程的内容包括：江西历史上的爱国传统，“八一”起义与英雄城南昌、“秋收起义”与安源工人俱乐部、“三湾改编”、“革命摇篮”、“共和国摇篮”及其中蕴含的八一精神、井冈山精神、苏区精神、长征精神等，以及江西红色文化社会调查等。</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对江西红色文化的学习，坚持红色文化资源融入思政课堂、扎实开展红色文化资源育人实践，充分发挥红色文化资源育人育心、铸魂固本的功能，教育引导学生厚植文化底蕴，传承红色基因，打好中国底色，强化家国意识，增强爱国主义情怀，大力弘扬社会主义核心价值观，努力成长为养德智体美劳全面发展的社会主义建设者和接班人。</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企业特色课</w:t>
            </w:r>
            <w:r>
              <w:rPr>
                <w:rFonts w:hint="eastAsia" w:ascii="宋体" w:hAnsi="宋体" w:eastAsia="宋体" w:cs="宋体"/>
                <w:color w:val="auto"/>
                <w:sz w:val="24"/>
                <w:szCs w:val="24"/>
                <w:lang w:val="en-US" w:eastAsia="zh-CN"/>
              </w:rPr>
              <w:t>1</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学分，共</w:t>
            </w:r>
            <w:r>
              <w:rPr>
                <w:rFonts w:hint="eastAsia" w:ascii="宋体" w:hAnsi="宋体" w:eastAsia="宋体" w:cs="宋体"/>
                <w:color w:val="000000" w:themeColor="text1"/>
                <w:sz w:val="24"/>
                <w:szCs w:val="24"/>
                <w:lang w:val="en-US" w:eastAsia="zh-CN"/>
                <w14:textFill>
                  <w14:solidFill>
                    <w14:schemeClr w14:val="tx1"/>
                  </w14:solidFill>
                </w14:textFill>
              </w:rPr>
              <w:t>54</w:t>
            </w:r>
            <w:r>
              <w:rPr>
                <w:rFonts w:hint="eastAsia" w:ascii="宋体" w:hAnsi="宋体" w:eastAsia="宋体" w:cs="宋体"/>
                <w:color w:val="000000" w:themeColor="text1"/>
                <w:sz w:val="24"/>
                <w:szCs w:val="24"/>
                <w14:textFill>
                  <w14:solidFill>
                    <w14:schemeClr w14:val="tx1"/>
                  </w14:solidFill>
                </w14:textFill>
              </w:rPr>
              <w:t>学时（</w:t>
            </w:r>
            <w:r>
              <w:rPr>
                <w:rFonts w:hint="eastAsia" w:ascii="宋体" w:hAnsi="宋体" w:eastAsia="宋体" w:cs="宋体"/>
                <w:color w:val="auto"/>
                <w:sz w:val="24"/>
                <w:szCs w:val="24"/>
                <w:lang w:val="en-US" w:eastAsia="zh-CN"/>
              </w:rPr>
              <w:t>实践</w:t>
            </w:r>
            <w:r>
              <w:rPr>
                <w:rFonts w:hint="eastAsia" w:ascii="宋体" w:hAnsi="宋体" w:eastAsia="宋体" w:cs="宋体"/>
                <w:color w:val="000000" w:themeColor="text1"/>
                <w:sz w:val="24"/>
                <w:szCs w:val="24"/>
                <w:lang w:val="en-US" w:eastAsia="zh-CN"/>
                <w14:textFill>
                  <w14:solidFill>
                    <w14:schemeClr w14:val="tx1"/>
                  </w14:solidFill>
                </w14:textFill>
              </w:rPr>
              <w:t>54</w:t>
            </w:r>
            <w:r>
              <w:rPr>
                <w:rFonts w:hint="eastAsia" w:ascii="宋体" w:hAnsi="宋体" w:eastAsia="宋体" w:cs="宋体"/>
                <w:color w:val="000000" w:themeColor="text1"/>
                <w:sz w:val="24"/>
                <w:szCs w:val="24"/>
                <w14:textFill>
                  <w14:solidFill>
                    <w14:schemeClr w14:val="tx1"/>
                  </w14:solidFill>
                </w14:textFill>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企业特色课为本专业前沿性，企业特色性的课程。具体课程根据合作企业进行动态调整。要求企业具备开设本课程的软件、硬件设施，并具有完善的课程教学、考核体系，能够确保本课程顺利实施。</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企业特色课</w:t>
            </w:r>
            <w:r>
              <w:rPr>
                <w:rFonts w:hint="eastAsia" w:ascii="宋体" w:hAnsi="宋体" w:eastAsia="宋体" w:cs="宋体"/>
                <w:color w:val="auto"/>
                <w:sz w:val="24"/>
                <w:szCs w:val="24"/>
                <w:lang w:val="en-US" w:eastAsia="zh-CN"/>
              </w:rPr>
              <w:t>2</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本课程</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学分，共</w:t>
            </w: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rPr>
              <w:t>学时（</w:t>
            </w:r>
            <w:r>
              <w:rPr>
                <w:rFonts w:hint="eastAsia" w:ascii="宋体" w:hAnsi="宋体" w:eastAsia="宋体" w:cs="宋体"/>
                <w:color w:val="auto"/>
                <w:sz w:val="24"/>
                <w:szCs w:val="24"/>
                <w:lang w:val="en-US" w:eastAsia="zh-CN"/>
              </w:rPr>
              <w:t>实践54</w:t>
            </w:r>
            <w:r>
              <w:rPr>
                <w:rFonts w:hint="eastAsia" w:ascii="宋体" w:hAnsi="宋体" w:eastAsia="宋体" w:cs="宋体"/>
                <w:color w:val="auto"/>
                <w:sz w:val="24"/>
                <w:szCs w:val="24"/>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000000"/>
                <w:sz w:val="24"/>
                <w:szCs w:val="24"/>
              </w:rPr>
              <w:t>企业特色课为本专业前沿性，企业特色性的课程。具体课程根据合作企业进行动态调整。要求企业具备开设本课程的软件、硬件设施，并具有完善的课程教学、考核体系，能够确保本课程顺利实施。</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lang w:val="en-US" w:eastAsia="zh-CN"/>
              </w:rPr>
              <w:t>26.</w:t>
            </w:r>
            <w:r>
              <w:rPr>
                <w:rFonts w:hint="eastAsia" w:ascii="宋体" w:hAnsi="宋体" w:eastAsia="宋体" w:cs="宋体"/>
                <w:color w:val="000000" w:themeColor="text1"/>
                <w:sz w:val="24"/>
                <w:szCs w:val="24"/>
                <w:lang w:val="en-US" w:eastAsia="zh-CN"/>
                <w14:textFill>
                  <w14:solidFill>
                    <w14:schemeClr w14:val="tx1"/>
                  </w14:solidFill>
                </w14:textFill>
              </w:rPr>
              <w:t>专业实习</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学分，共</w:t>
            </w:r>
            <w:r>
              <w:rPr>
                <w:rFonts w:hint="eastAsia" w:ascii="宋体" w:hAnsi="宋体" w:eastAsia="宋体" w:cs="宋体"/>
                <w:color w:val="000000" w:themeColor="text1"/>
                <w:sz w:val="24"/>
                <w:szCs w:val="24"/>
                <w:lang w:val="en-US" w:eastAsia="zh-CN"/>
                <w14:textFill>
                  <w14:solidFill>
                    <w14:schemeClr w14:val="tx1"/>
                  </w14:solidFill>
                </w14:textFill>
              </w:rPr>
              <w:t>72</w:t>
            </w:r>
            <w:r>
              <w:rPr>
                <w:rFonts w:hint="eastAsia" w:ascii="宋体" w:hAnsi="宋体" w:eastAsia="宋体" w:cs="宋体"/>
                <w:color w:val="000000" w:themeColor="text1"/>
                <w:sz w:val="24"/>
                <w:szCs w:val="24"/>
                <w14:textFill>
                  <w14:solidFill>
                    <w14:schemeClr w14:val="tx1"/>
                  </w14:solidFill>
                </w14:textFill>
              </w:rPr>
              <w:t>学时（实践</w:t>
            </w:r>
            <w:r>
              <w:rPr>
                <w:rFonts w:hint="eastAsia" w:ascii="宋体" w:hAnsi="宋体" w:eastAsia="宋体" w:cs="宋体"/>
                <w:color w:val="000000" w:themeColor="text1"/>
                <w:sz w:val="24"/>
                <w:szCs w:val="24"/>
                <w:lang w:val="en-US" w:eastAsia="zh-CN"/>
                <w14:textFill>
                  <w14:solidFill>
                    <w14:schemeClr w14:val="tx1"/>
                  </w14:solidFill>
                </w14:textFill>
              </w:rPr>
              <w:t>72</w:t>
            </w:r>
            <w:r>
              <w:rPr>
                <w:rFonts w:hint="eastAsia" w:ascii="宋体" w:hAnsi="宋体" w:eastAsia="宋体" w:cs="宋体"/>
                <w:color w:val="000000" w:themeColor="text1"/>
                <w:sz w:val="24"/>
                <w:szCs w:val="24"/>
                <w14:textFill>
                  <w14:solidFill>
                    <w14:schemeClr w14:val="tx1"/>
                  </w14:solidFill>
                </w14:textFill>
              </w:rPr>
              <w:t>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课程是对所学理论知识的一次初步的综合应用能力的检验。通过专业实习，使学生了解企业的运作、组织架构、规章制度和企业文化；掌握岗位的典型工作流程、工作内容及核心技能；养成爱岗敬业、精益求精、诚实守信的职业精神，提升发现问题、分析问题和解决问题的能力，就业时真正达到与企业零距离接轨，增强学生的就业能力。学生在实习结束后，需按规定的格式提交书面的实习报告、实习日志。</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27.</w:t>
            </w:r>
            <w:r>
              <w:rPr>
                <w:rFonts w:hint="eastAsia" w:ascii="宋体" w:hAnsi="宋体" w:eastAsia="宋体" w:cs="宋体"/>
                <w:color w:val="000000"/>
                <w:sz w:val="24"/>
                <w:szCs w:val="24"/>
                <w:lang w:eastAsia="zh-CN"/>
              </w:rPr>
              <w:t>毕业设计</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本课程4学分，课内学时72学时（实践72学时），开设一学期。</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毕业设计是</w:t>
            </w: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HYPERLINK "https://baike.sogou.com/lemma/ShowInnerLink.htm?lemmaId=185440845&amp;ss_c=ssc.citiao.link" \t "https://baike.sogou.com/_blank"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color w:val="auto"/>
                <w:sz w:val="24"/>
                <w:szCs w:val="24"/>
                <w:lang w:val="en-US" w:eastAsia="zh-CN"/>
              </w:rPr>
              <w:t>应用化工技术</w:t>
            </w:r>
            <w:r>
              <w:rPr>
                <w:rFonts w:hint="eastAsia" w:ascii="宋体" w:hAnsi="宋体" w:eastAsia="宋体" w:cs="宋体"/>
                <w:color w:val="000000"/>
                <w:sz w:val="24"/>
                <w:szCs w:val="24"/>
                <w:lang w:eastAsia="zh-CN"/>
              </w:rPr>
              <w:t>专业</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教学计划的重要组成部分。</w:t>
            </w:r>
            <w:r>
              <w:rPr>
                <w:rFonts w:hint="eastAsia" w:ascii="宋体" w:hAnsi="宋体" w:eastAsia="宋体" w:cs="宋体"/>
                <w:color w:val="000000"/>
                <w:sz w:val="24"/>
                <w:szCs w:val="24"/>
                <w:lang w:val="en-US" w:eastAsia="zh-CN"/>
              </w:rPr>
              <w:t>通过</w:t>
            </w:r>
            <w:r>
              <w:rPr>
                <w:rFonts w:hint="eastAsia" w:ascii="宋体" w:hAnsi="宋体" w:eastAsia="宋体" w:cs="宋体"/>
                <w:color w:val="auto"/>
                <w:sz w:val="24"/>
                <w:szCs w:val="24"/>
                <w:lang w:val="en-US" w:eastAsia="zh-CN"/>
              </w:rPr>
              <w:t>应用化工技术</w:t>
            </w:r>
            <w:r>
              <w:rPr>
                <w:rFonts w:hint="eastAsia" w:ascii="宋体" w:hAnsi="宋体" w:eastAsia="宋体" w:cs="宋体"/>
                <w:color w:val="000000"/>
                <w:sz w:val="24"/>
                <w:szCs w:val="24"/>
                <w:lang w:val="en-US" w:eastAsia="zh-CN"/>
              </w:rPr>
              <w:t>专业相关行业企业的真实生产实际进行选题设计，包括产品设计、工艺设计和方案设计类等，着重培养学生综合分析、解决生产实际问题和独立工作能力，使学生接受实际生产项目训练，</w:t>
            </w:r>
            <w:r>
              <w:rPr>
                <w:rFonts w:hint="eastAsia" w:ascii="宋体" w:hAnsi="宋体" w:eastAsia="宋体" w:cs="宋体"/>
                <w:color w:val="000000"/>
                <w:sz w:val="24"/>
                <w:szCs w:val="24"/>
                <w:lang w:eastAsia="zh-CN"/>
              </w:rPr>
              <w:t>培养学生综合运用多学科的理论知识和技能，解决具有一定复杂程度的实际问题，培养从事科学研究的能力、严肃认真的科学态度、严谨求实的工作作风以及勇于实践、勇于探索和开拓创新精神。</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（五）专业培养要求中的知识、能力与素质的培养，与上述课程模块相呼应，在课程设置中得以体现。课程模块是知识、能力和素质培养的载体，同时知识、能力和素质培养要求又决定了课程模块的构成。</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（六）必修课程和集中实践环节的教学大纲或要求根据教育部颁布的课程教学基本要求统一制定。自开课按照省开大统一课程教学基本要求统一制定。</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（七）市级</w:t>
            </w:r>
            <w:r>
              <w:rPr>
                <w:rFonts w:hint="eastAsia" w:ascii="宋体" w:hAnsi="宋体" w:eastAsia="宋体" w:cs="宋体"/>
                <w:color w:val="000000"/>
                <w:sz w:val="24"/>
                <w:szCs w:val="24"/>
                <w:lang w:eastAsia="zh-CN"/>
              </w:rPr>
              <w:t>开大</w:t>
            </w:r>
            <w:r>
              <w:rPr>
                <w:rFonts w:hint="eastAsia" w:ascii="宋体" w:hAnsi="宋体" w:eastAsia="宋体" w:cs="宋体"/>
                <w:color w:val="000000"/>
                <w:sz w:val="24"/>
                <w:szCs w:val="24"/>
              </w:rPr>
              <w:t>在省开大统一制订的实施性教学计划基础上制订各教学点执行性教学计划。</w:t>
            </w:r>
          </w:p>
          <w:p>
            <w:pPr>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rPr>
                <w:rFonts w:hint="default" w:ascii="Times New Roman" w:hAnsi="Times New Roman" w:eastAsia="宋体" w:cs="Times New Roman"/>
                <w:color w:val="000000"/>
                <w:sz w:val="21"/>
                <w:szCs w:val="21"/>
              </w:rPr>
            </w:pPr>
          </w:p>
          <w:p>
            <w:pPr>
              <w:keepNext w:val="0"/>
              <w:keepLines w:val="0"/>
              <w:pageBreakBefore w:val="0"/>
              <w:widowControl w:val="0"/>
              <w:kinsoku/>
              <w:wordWrap/>
              <w:overflowPunct/>
              <w:topLinePunct w:val="0"/>
              <w:autoSpaceDN/>
              <w:bidi w:val="0"/>
              <w:adjustRightInd/>
              <w:snapToGrid/>
              <w:spacing w:line="360" w:lineRule="auto"/>
              <w:ind w:firstLine="482" w:firstLineChars="200"/>
              <w:textAlignment w:val="auto"/>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rPr>
              <w:t>、学习成果认证与转换</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学习成果认证与转换参照《江西开放大学高等继续教育“二元制”人才培养模式学习成果认证与转换管理办法》相关规定。 </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outlineLvl w:val="1"/>
              <w:rPr>
                <w:rFonts w:hint="eastAsia" w:ascii="宋体" w:hAnsi="宋体" w:eastAsia="宋体" w:cs="宋体"/>
                <w:b/>
                <w:bCs/>
                <w:color w:val="000000"/>
                <w:sz w:val="24"/>
                <w:szCs w:val="24"/>
              </w:rPr>
            </w:pPr>
            <w:r>
              <w:rPr>
                <w:rFonts w:hint="eastAsia" w:ascii="宋体" w:hAnsi="宋体" w:eastAsia="宋体" w:cs="宋体"/>
                <w:bCs/>
                <w:color w:val="auto"/>
                <w:sz w:val="24"/>
                <w:szCs w:val="24"/>
              </w:rPr>
              <w:t>对于学生的课程类、证书类、经验奖励类及培训类学习成果可转换成相应的课程及实践学分。本专业所有转换学分比例不超过总学分的40%，转换课程可免修、免考，不免相应费用。具体规则如下：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7"/>
              <w:gridCol w:w="1399"/>
              <w:gridCol w:w="18"/>
              <w:gridCol w:w="1388"/>
              <w:gridCol w:w="30"/>
              <w:gridCol w:w="1701"/>
              <w:gridCol w:w="1082"/>
              <w:gridCol w:w="52"/>
              <w:gridCol w:w="1355"/>
              <w:gridCol w:w="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8438" w:type="dxa"/>
                  <w:gridSpan w:val="10"/>
                </w:tcPr>
                <w:p>
                  <w:pPr>
                    <w:jc w:val="center"/>
                    <w:outlineLvl w:val="1"/>
                    <w:rPr>
                      <w:rFonts w:hint="default" w:ascii="Times New Roman" w:hAnsi="Times New Roman" w:eastAsia="宋体" w:cs="Times New Roman"/>
                      <w:b/>
                      <w:bCs/>
                      <w:color w:val="000000"/>
                      <w:sz w:val="21"/>
                      <w:szCs w:val="21"/>
                    </w:rPr>
                  </w:pPr>
                  <w:r>
                    <w:rPr>
                      <w:rFonts w:hint="default" w:ascii="Times New Roman" w:hAnsi="Times New Roman" w:eastAsia="宋体" w:cs="Times New Roman"/>
                      <w:bCs/>
                      <w:color w:val="000000"/>
                      <w:sz w:val="21"/>
                      <w:szCs w:val="21"/>
                    </w:rPr>
                    <w:t>证书类学习成果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1406" w:type="dxa"/>
                </w:tcPr>
                <w:p>
                  <w:pPr>
                    <w:outlineLvl w:val="1"/>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证书类型</w:t>
                  </w:r>
                </w:p>
              </w:tc>
              <w:tc>
                <w:tcPr>
                  <w:tcW w:w="1406" w:type="dxa"/>
                  <w:gridSpan w:val="2"/>
                </w:tcPr>
                <w:p>
                  <w:pPr>
                    <w:outlineLvl w:val="1"/>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证书名称</w:t>
                  </w:r>
                </w:p>
              </w:tc>
              <w:tc>
                <w:tcPr>
                  <w:tcW w:w="1406" w:type="dxa"/>
                  <w:gridSpan w:val="2"/>
                </w:tcPr>
                <w:p>
                  <w:pPr>
                    <w:outlineLvl w:val="1"/>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颁证机构</w:t>
                  </w:r>
                </w:p>
              </w:tc>
              <w:tc>
                <w:tcPr>
                  <w:tcW w:w="1731" w:type="dxa"/>
                  <w:gridSpan w:val="2"/>
                </w:tcPr>
                <w:p>
                  <w:pPr>
                    <w:outlineLvl w:val="1"/>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可转换课程</w:t>
                  </w:r>
                </w:p>
              </w:tc>
              <w:tc>
                <w:tcPr>
                  <w:tcW w:w="1082" w:type="dxa"/>
                </w:tcPr>
                <w:p>
                  <w:pPr>
                    <w:outlineLvl w:val="1"/>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对应学分</w:t>
                  </w:r>
                </w:p>
              </w:tc>
              <w:tc>
                <w:tcPr>
                  <w:tcW w:w="1407" w:type="dxa"/>
                  <w:gridSpan w:val="2"/>
                </w:tcPr>
                <w:p>
                  <w:pPr>
                    <w:outlineLvl w:val="1"/>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1406" w:type="dxa"/>
                  <w:vMerge w:val="restart"/>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lang w:val="en-US" w:eastAsia="zh-CN"/>
                    </w:rPr>
                    <w:t>资格等级</w:t>
                  </w:r>
                  <w:r>
                    <w:rPr>
                      <w:rFonts w:hint="default" w:ascii="Times New Roman" w:hAnsi="Times New Roman" w:eastAsia="宋体" w:cs="Times New Roman"/>
                      <w:bCs/>
                      <w:color w:val="000000"/>
                      <w:sz w:val="21"/>
                      <w:szCs w:val="21"/>
                    </w:rPr>
                    <w:t>证书</w:t>
                  </w:r>
                </w:p>
              </w:tc>
              <w:tc>
                <w:tcPr>
                  <w:tcW w:w="1406" w:type="dxa"/>
                  <w:gridSpan w:val="2"/>
                  <w:vMerge w:val="restart"/>
                </w:tcPr>
                <w:p>
                  <w:pPr>
                    <w:outlineLvl w:val="1"/>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rPr>
                    <w:t>化工总控工</w:t>
                  </w:r>
                  <w:r>
                    <w:rPr>
                      <w:rFonts w:hint="default" w:ascii="Times New Roman" w:hAnsi="Times New Roman" w:eastAsia="宋体" w:cs="Times New Roman"/>
                      <w:bCs/>
                      <w:color w:val="000000"/>
                      <w:sz w:val="21"/>
                      <w:szCs w:val="21"/>
                      <w:lang w:eastAsia="zh-CN"/>
                    </w:rPr>
                    <w:t>（</w:t>
                  </w:r>
                  <w:r>
                    <w:rPr>
                      <w:rFonts w:hint="default" w:ascii="Times New Roman" w:hAnsi="Times New Roman" w:eastAsia="宋体" w:cs="Times New Roman"/>
                      <w:bCs/>
                      <w:color w:val="000000"/>
                      <w:sz w:val="21"/>
                      <w:szCs w:val="21"/>
                      <w:lang w:val="en-US" w:eastAsia="zh-CN"/>
                    </w:rPr>
                    <w:t>中级及以上</w:t>
                  </w:r>
                  <w:r>
                    <w:rPr>
                      <w:rFonts w:hint="default" w:ascii="Times New Roman" w:hAnsi="Times New Roman" w:eastAsia="宋体" w:cs="Times New Roman"/>
                      <w:bCs/>
                      <w:color w:val="000000"/>
                      <w:sz w:val="21"/>
                      <w:szCs w:val="21"/>
                      <w:lang w:eastAsia="zh-CN"/>
                    </w:rPr>
                    <w:t>）</w:t>
                  </w:r>
                </w:p>
              </w:tc>
              <w:tc>
                <w:tcPr>
                  <w:tcW w:w="1406" w:type="dxa"/>
                  <w:gridSpan w:val="2"/>
                  <w:vMerge w:val="restart"/>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化工行业技能鉴定机构</w:t>
                  </w:r>
                </w:p>
              </w:tc>
              <w:tc>
                <w:tcPr>
                  <w:tcW w:w="1731" w:type="dxa"/>
                  <w:gridSpan w:val="2"/>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课程1</w:t>
                  </w:r>
                  <w:r>
                    <w:rPr>
                      <w:rFonts w:hint="default" w:ascii="Times New Roman" w:hAnsi="Times New Roman" w:eastAsia="宋体" w:cs="Times New Roman"/>
                      <w:color w:val="000000"/>
                      <w:sz w:val="21"/>
                      <w:szCs w:val="21"/>
                    </w:rPr>
                    <w:t>典型化工单元设备操作与控制</w:t>
                  </w:r>
                </w:p>
              </w:tc>
              <w:tc>
                <w:tcPr>
                  <w:tcW w:w="1082" w:type="dxa"/>
                  <w:vAlign w:val="center"/>
                </w:tcPr>
                <w:p>
                  <w:pPr>
                    <w:jc w:val="center"/>
                    <w:outlineLvl w:val="1"/>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val="en-US" w:eastAsia="zh-CN"/>
                    </w:rPr>
                    <w:t>3</w:t>
                  </w:r>
                </w:p>
              </w:tc>
              <w:tc>
                <w:tcPr>
                  <w:tcW w:w="1407" w:type="dxa"/>
                  <w:gridSpan w:val="2"/>
                  <w:vAlign w:val="center"/>
                </w:tcPr>
                <w:p>
                  <w:pPr>
                    <w:jc w:val="center"/>
                    <w:outlineLvl w:val="1"/>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1406" w:type="dxa"/>
                  <w:vMerge w:val="continue"/>
                </w:tcPr>
                <w:p>
                  <w:pPr>
                    <w:outlineLvl w:val="1"/>
                    <w:rPr>
                      <w:rFonts w:hint="default" w:ascii="Times New Roman" w:hAnsi="Times New Roman" w:eastAsia="宋体" w:cs="Times New Roman"/>
                      <w:bCs/>
                      <w:color w:val="000000"/>
                      <w:sz w:val="21"/>
                      <w:szCs w:val="21"/>
                    </w:rPr>
                  </w:pPr>
                </w:p>
              </w:tc>
              <w:tc>
                <w:tcPr>
                  <w:tcW w:w="1406" w:type="dxa"/>
                  <w:gridSpan w:val="2"/>
                  <w:vMerge w:val="continue"/>
                </w:tcPr>
                <w:p>
                  <w:pPr>
                    <w:outlineLvl w:val="1"/>
                    <w:rPr>
                      <w:rFonts w:hint="default" w:ascii="Times New Roman" w:hAnsi="Times New Roman" w:eastAsia="宋体" w:cs="Times New Roman"/>
                      <w:bCs/>
                      <w:color w:val="000000"/>
                      <w:sz w:val="21"/>
                      <w:szCs w:val="21"/>
                    </w:rPr>
                  </w:pPr>
                </w:p>
              </w:tc>
              <w:tc>
                <w:tcPr>
                  <w:tcW w:w="1406" w:type="dxa"/>
                  <w:gridSpan w:val="2"/>
                  <w:vMerge w:val="continue"/>
                </w:tcPr>
                <w:p>
                  <w:pPr>
                    <w:outlineLvl w:val="1"/>
                    <w:rPr>
                      <w:rFonts w:hint="default" w:ascii="Times New Roman" w:hAnsi="Times New Roman" w:eastAsia="宋体" w:cs="Times New Roman"/>
                      <w:bCs/>
                      <w:color w:val="000000"/>
                      <w:sz w:val="21"/>
                      <w:szCs w:val="21"/>
                    </w:rPr>
                  </w:pPr>
                </w:p>
              </w:tc>
              <w:tc>
                <w:tcPr>
                  <w:tcW w:w="1731" w:type="dxa"/>
                  <w:gridSpan w:val="2"/>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课程2</w:t>
                  </w:r>
                  <w:r>
                    <w:rPr>
                      <w:rFonts w:hint="default" w:ascii="Times New Roman" w:hAnsi="Times New Roman" w:eastAsia="宋体" w:cs="Times New Roman"/>
                      <w:color w:val="000000"/>
                      <w:sz w:val="21"/>
                      <w:szCs w:val="21"/>
                      <w:lang w:val="en-US" w:eastAsia="zh-CN"/>
                    </w:rPr>
                    <w:t>化工设备使用与维护</w:t>
                  </w:r>
                </w:p>
              </w:tc>
              <w:tc>
                <w:tcPr>
                  <w:tcW w:w="1082" w:type="dxa"/>
                  <w:vAlign w:val="center"/>
                </w:tcPr>
                <w:p>
                  <w:pPr>
                    <w:jc w:val="center"/>
                    <w:outlineLvl w:val="1"/>
                    <w:rPr>
                      <w:rFonts w:hint="default" w:ascii="Times New Roman" w:hAnsi="Times New Roman" w:eastAsia="宋体" w:cs="Times New Roman"/>
                      <w:bCs/>
                      <w:color w:val="000000"/>
                      <w:sz w:val="21"/>
                      <w:szCs w:val="21"/>
                      <w:lang w:eastAsia="zh-CN"/>
                    </w:rPr>
                  </w:pPr>
                  <w:r>
                    <w:rPr>
                      <w:rFonts w:hint="eastAsia" w:ascii="Times New Roman" w:hAnsi="Times New Roman" w:cs="Times New Roman"/>
                      <w:bCs/>
                      <w:color w:val="000000"/>
                      <w:sz w:val="21"/>
                      <w:szCs w:val="21"/>
                      <w:lang w:val="en-US" w:eastAsia="zh-CN"/>
                    </w:rPr>
                    <w:t>4</w:t>
                  </w:r>
                </w:p>
              </w:tc>
              <w:tc>
                <w:tcPr>
                  <w:tcW w:w="1407" w:type="dxa"/>
                  <w:gridSpan w:val="2"/>
                  <w:vAlign w:val="center"/>
                </w:tcPr>
                <w:p>
                  <w:pPr>
                    <w:jc w:val="center"/>
                    <w:outlineLvl w:val="1"/>
                    <w:rPr>
                      <w:rFonts w:hint="default" w:ascii="Times New Roman" w:hAnsi="Times New Roman" w:eastAsia="宋体" w:cs="Times New Roman"/>
                      <w:bCs/>
                      <w:color w:val="000000"/>
                      <w:sz w:val="21"/>
                      <w:szCs w:val="21"/>
                      <w:lang w:eastAsia="zh-CN"/>
                    </w:rPr>
                  </w:pPr>
                  <w:r>
                    <w:rPr>
                      <w:rFonts w:hint="eastAsia" w:ascii="Times New Roman" w:hAnsi="Times New Roman" w:cs="Times New Roman"/>
                      <w:bCs/>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1406" w:type="dxa"/>
                  <w:vMerge w:val="continue"/>
                </w:tcPr>
                <w:p>
                  <w:pPr>
                    <w:outlineLvl w:val="1"/>
                    <w:rPr>
                      <w:rFonts w:hint="default" w:ascii="Times New Roman" w:hAnsi="Times New Roman" w:eastAsia="宋体" w:cs="Times New Roman"/>
                      <w:bCs/>
                      <w:color w:val="000000"/>
                      <w:sz w:val="21"/>
                      <w:szCs w:val="21"/>
                    </w:rPr>
                  </w:pPr>
                </w:p>
              </w:tc>
              <w:tc>
                <w:tcPr>
                  <w:tcW w:w="1406" w:type="dxa"/>
                  <w:gridSpan w:val="2"/>
                  <w:vMerge w:val="continue"/>
                </w:tcPr>
                <w:p>
                  <w:pPr>
                    <w:outlineLvl w:val="1"/>
                    <w:rPr>
                      <w:rFonts w:hint="default" w:ascii="Times New Roman" w:hAnsi="Times New Roman" w:eastAsia="宋体" w:cs="Times New Roman"/>
                      <w:bCs/>
                      <w:color w:val="000000"/>
                      <w:sz w:val="21"/>
                      <w:szCs w:val="21"/>
                    </w:rPr>
                  </w:pPr>
                </w:p>
              </w:tc>
              <w:tc>
                <w:tcPr>
                  <w:tcW w:w="1406" w:type="dxa"/>
                  <w:gridSpan w:val="2"/>
                  <w:vMerge w:val="continue"/>
                </w:tcPr>
                <w:p>
                  <w:pPr>
                    <w:outlineLvl w:val="1"/>
                    <w:rPr>
                      <w:rFonts w:hint="default" w:ascii="Times New Roman" w:hAnsi="Times New Roman" w:eastAsia="宋体" w:cs="Times New Roman"/>
                      <w:bCs/>
                      <w:color w:val="000000"/>
                      <w:sz w:val="21"/>
                      <w:szCs w:val="21"/>
                    </w:rPr>
                  </w:pPr>
                </w:p>
              </w:tc>
              <w:tc>
                <w:tcPr>
                  <w:tcW w:w="1731" w:type="dxa"/>
                  <w:gridSpan w:val="2"/>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课程</w:t>
                  </w:r>
                  <w:r>
                    <w:rPr>
                      <w:rFonts w:hint="default" w:ascii="Times New Roman" w:hAnsi="Times New Roman" w:eastAsia="宋体" w:cs="Times New Roman"/>
                      <w:bCs/>
                      <w:color w:val="000000"/>
                      <w:sz w:val="21"/>
                      <w:szCs w:val="21"/>
                      <w:lang w:val="en-US" w:eastAsia="zh-CN"/>
                    </w:rPr>
                    <w:t>3</w:t>
                  </w:r>
                  <w:r>
                    <w:rPr>
                      <w:rFonts w:hint="default" w:ascii="Times New Roman" w:hAnsi="Times New Roman" w:eastAsia="宋体" w:cs="Times New Roman"/>
                      <w:color w:val="000000"/>
                      <w:sz w:val="21"/>
                      <w:szCs w:val="21"/>
                      <w:lang w:val="en-US" w:eastAsia="zh-CN"/>
                    </w:rPr>
                    <w:t>典型化工产品生产技术</w:t>
                  </w:r>
                </w:p>
              </w:tc>
              <w:tc>
                <w:tcPr>
                  <w:tcW w:w="1082" w:type="dxa"/>
                  <w:vAlign w:val="center"/>
                </w:tcPr>
                <w:p>
                  <w:pPr>
                    <w:jc w:val="center"/>
                    <w:outlineLvl w:val="1"/>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4</w:t>
                  </w:r>
                </w:p>
              </w:tc>
              <w:tc>
                <w:tcPr>
                  <w:tcW w:w="1407" w:type="dxa"/>
                  <w:gridSpan w:val="2"/>
                  <w:vAlign w:val="center"/>
                </w:tcPr>
                <w:p>
                  <w:pPr>
                    <w:jc w:val="center"/>
                    <w:outlineLvl w:val="1"/>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1406" w:type="dxa"/>
                  <w:vMerge w:val="restart"/>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lang w:val="en-US" w:eastAsia="zh-CN"/>
                    </w:rPr>
                    <w:t>资格等级</w:t>
                  </w:r>
                  <w:r>
                    <w:rPr>
                      <w:rFonts w:hint="default" w:ascii="Times New Roman" w:hAnsi="Times New Roman" w:eastAsia="宋体" w:cs="Times New Roman"/>
                      <w:bCs/>
                      <w:color w:val="000000"/>
                      <w:sz w:val="21"/>
                      <w:szCs w:val="21"/>
                    </w:rPr>
                    <w:t>证书</w:t>
                  </w:r>
                </w:p>
              </w:tc>
              <w:tc>
                <w:tcPr>
                  <w:tcW w:w="1406" w:type="dxa"/>
                  <w:gridSpan w:val="2"/>
                  <w:vMerge w:val="restart"/>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化学检验员</w:t>
                  </w:r>
                </w:p>
              </w:tc>
              <w:tc>
                <w:tcPr>
                  <w:tcW w:w="1406" w:type="dxa"/>
                  <w:gridSpan w:val="2"/>
                  <w:vMerge w:val="restart"/>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化工行业技能鉴定机构</w:t>
                  </w:r>
                </w:p>
              </w:tc>
              <w:tc>
                <w:tcPr>
                  <w:tcW w:w="1731" w:type="dxa"/>
                  <w:gridSpan w:val="2"/>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课程1</w:t>
                  </w:r>
                  <w:r>
                    <w:rPr>
                      <w:rFonts w:hint="default" w:ascii="Times New Roman" w:hAnsi="Times New Roman" w:eastAsia="宋体" w:cs="Times New Roman"/>
                      <w:color w:val="000000"/>
                      <w:sz w:val="21"/>
                      <w:szCs w:val="21"/>
                    </w:rPr>
                    <w:t>无机化学</w:t>
                  </w:r>
                </w:p>
              </w:tc>
              <w:tc>
                <w:tcPr>
                  <w:tcW w:w="1082" w:type="dxa"/>
                  <w:vAlign w:val="center"/>
                </w:tcPr>
                <w:p>
                  <w:pPr>
                    <w:jc w:val="center"/>
                    <w:outlineLvl w:val="1"/>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val="en-US" w:eastAsia="zh-CN"/>
                    </w:rPr>
                    <w:t>3</w:t>
                  </w:r>
                </w:p>
              </w:tc>
              <w:tc>
                <w:tcPr>
                  <w:tcW w:w="1407" w:type="dxa"/>
                  <w:gridSpan w:val="2"/>
                  <w:vAlign w:val="center"/>
                </w:tcPr>
                <w:p>
                  <w:pPr>
                    <w:jc w:val="center"/>
                    <w:outlineLvl w:val="1"/>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1406" w:type="dxa"/>
                  <w:vMerge w:val="continue"/>
                </w:tcPr>
                <w:p>
                  <w:pPr>
                    <w:outlineLvl w:val="1"/>
                    <w:rPr>
                      <w:rFonts w:hint="default" w:ascii="Times New Roman" w:hAnsi="Times New Roman" w:eastAsia="宋体" w:cs="Times New Roman"/>
                      <w:bCs/>
                      <w:color w:val="000000"/>
                      <w:sz w:val="21"/>
                      <w:szCs w:val="21"/>
                      <w:lang w:val="en-US" w:eastAsia="zh-CN"/>
                    </w:rPr>
                  </w:pPr>
                </w:p>
              </w:tc>
              <w:tc>
                <w:tcPr>
                  <w:tcW w:w="1406" w:type="dxa"/>
                  <w:gridSpan w:val="2"/>
                  <w:vMerge w:val="continue"/>
                </w:tcPr>
                <w:p>
                  <w:pPr>
                    <w:outlineLvl w:val="1"/>
                    <w:rPr>
                      <w:rFonts w:hint="default" w:ascii="Times New Roman" w:hAnsi="Times New Roman" w:eastAsia="宋体" w:cs="Times New Roman"/>
                      <w:bCs/>
                      <w:color w:val="000000"/>
                      <w:sz w:val="21"/>
                      <w:szCs w:val="21"/>
                    </w:rPr>
                  </w:pPr>
                </w:p>
              </w:tc>
              <w:tc>
                <w:tcPr>
                  <w:tcW w:w="1406" w:type="dxa"/>
                  <w:gridSpan w:val="2"/>
                  <w:vMerge w:val="continue"/>
                </w:tcPr>
                <w:p>
                  <w:pPr>
                    <w:outlineLvl w:val="1"/>
                    <w:rPr>
                      <w:rFonts w:hint="default" w:ascii="Times New Roman" w:hAnsi="Times New Roman" w:eastAsia="宋体" w:cs="Times New Roman"/>
                      <w:bCs/>
                      <w:color w:val="000000"/>
                      <w:sz w:val="21"/>
                      <w:szCs w:val="21"/>
                    </w:rPr>
                  </w:pPr>
                </w:p>
              </w:tc>
              <w:tc>
                <w:tcPr>
                  <w:tcW w:w="1731" w:type="dxa"/>
                  <w:gridSpan w:val="2"/>
                </w:tcPr>
                <w:p>
                  <w:pPr>
                    <w:outlineLvl w:val="1"/>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rPr>
                    <w:t>课程</w:t>
                  </w:r>
                  <w:r>
                    <w:rPr>
                      <w:rFonts w:hint="default" w:ascii="Times New Roman" w:hAnsi="Times New Roman" w:eastAsia="宋体" w:cs="Times New Roman"/>
                      <w:bCs/>
                      <w:color w:val="000000"/>
                      <w:sz w:val="21"/>
                      <w:szCs w:val="21"/>
                      <w:lang w:val="en-US" w:eastAsia="zh-CN"/>
                    </w:rPr>
                    <w:t>2</w:t>
                  </w:r>
                  <w:r>
                    <w:rPr>
                      <w:rFonts w:hint="default" w:ascii="Times New Roman" w:hAnsi="Times New Roman" w:eastAsia="宋体" w:cs="Times New Roman"/>
                      <w:color w:val="000000"/>
                      <w:sz w:val="21"/>
                      <w:szCs w:val="21"/>
                      <w:lang w:val="en-US" w:eastAsia="zh-CN"/>
                    </w:rPr>
                    <w:t>化工产品分析检测</w:t>
                  </w:r>
                </w:p>
              </w:tc>
              <w:tc>
                <w:tcPr>
                  <w:tcW w:w="1082" w:type="dxa"/>
                  <w:vAlign w:val="center"/>
                </w:tcPr>
                <w:p>
                  <w:pPr>
                    <w:jc w:val="center"/>
                    <w:outlineLvl w:val="1"/>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4</w:t>
                  </w:r>
                </w:p>
              </w:tc>
              <w:tc>
                <w:tcPr>
                  <w:tcW w:w="1407" w:type="dxa"/>
                  <w:gridSpan w:val="2"/>
                  <w:vAlign w:val="center"/>
                </w:tcPr>
                <w:p>
                  <w:pPr>
                    <w:jc w:val="center"/>
                    <w:outlineLvl w:val="1"/>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1406"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lang w:val="en-US" w:eastAsia="zh-CN"/>
                    </w:rPr>
                    <w:t>资格等级</w:t>
                  </w:r>
                  <w:r>
                    <w:rPr>
                      <w:rFonts w:hint="default" w:ascii="Times New Roman" w:hAnsi="Times New Roman" w:eastAsia="宋体" w:cs="Times New Roman"/>
                      <w:bCs/>
                      <w:color w:val="000000"/>
                      <w:sz w:val="21"/>
                      <w:szCs w:val="21"/>
                    </w:rPr>
                    <w:t>证书</w:t>
                  </w:r>
                </w:p>
              </w:tc>
              <w:tc>
                <w:tcPr>
                  <w:tcW w:w="1406" w:type="dxa"/>
                  <w:gridSpan w:val="2"/>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化工仪表维修工</w:t>
                  </w:r>
                </w:p>
              </w:tc>
              <w:tc>
                <w:tcPr>
                  <w:tcW w:w="1406" w:type="dxa"/>
                  <w:gridSpan w:val="2"/>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化工行业技能鉴定机构</w:t>
                  </w:r>
                </w:p>
              </w:tc>
              <w:tc>
                <w:tcPr>
                  <w:tcW w:w="1731" w:type="dxa"/>
                  <w:gridSpan w:val="2"/>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课程1</w:t>
                  </w:r>
                  <w:r>
                    <w:rPr>
                      <w:rFonts w:hint="default" w:ascii="Times New Roman" w:hAnsi="Times New Roman" w:eastAsia="宋体" w:cs="Times New Roman"/>
                      <w:color w:val="000000"/>
                      <w:sz w:val="21"/>
                      <w:szCs w:val="21"/>
                      <w:lang w:val="en-US" w:eastAsia="zh-CN"/>
                    </w:rPr>
                    <w:t>化工设备使用与维护</w:t>
                  </w:r>
                </w:p>
              </w:tc>
              <w:tc>
                <w:tcPr>
                  <w:tcW w:w="1082" w:type="dxa"/>
                  <w:vAlign w:val="center"/>
                </w:tcPr>
                <w:p>
                  <w:pPr>
                    <w:jc w:val="center"/>
                    <w:outlineLvl w:val="1"/>
                    <w:rPr>
                      <w:rFonts w:hint="default" w:ascii="Times New Roman" w:hAnsi="Times New Roman" w:eastAsia="宋体" w:cs="Times New Roman"/>
                      <w:bCs/>
                      <w:color w:val="000000"/>
                      <w:sz w:val="21"/>
                      <w:szCs w:val="21"/>
                      <w:lang w:eastAsia="zh-CN"/>
                    </w:rPr>
                  </w:pPr>
                  <w:r>
                    <w:rPr>
                      <w:rFonts w:hint="eastAsia" w:ascii="Times New Roman" w:hAnsi="Times New Roman" w:cs="Times New Roman"/>
                      <w:bCs/>
                      <w:color w:val="000000"/>
                      <w:sz w:val="21"/>
                      <w:szCs w:val="21"/>
                      <w:lang w:val="en-US" w:eastAsia="zh-CN"/>
                    </w:rPr>
                    <w:t>4</w:t>
                  </w:r>
                </w:p>
              </w:tc>
              <w:tc>
                <w:tcPr>
                  <w:tcW w:w="1407" w:type="dxa"/>
                  <w:gridSpan w:val="2"/>
                  <w:vAlign w:val="center"/>
                </w:tcPr>
                <w:p>
                  <w:pPr>
                    <w:jc w:val="center"/>
                    <w:outlineLvl w:val="1"/>
                    <w:rPr>
                      <w:rFonts w:hint="default" w:ascii="Times New Roman" w:hAnsi="Times New Roman" w:eastAsia="宋体" w:cs="Times New Roman"/>
                      <w:bCs/>
                      <w:color w:val="000000"/>
                      <w:sz w:val="21"/>
                      <w:szCs w:val="21"/>
                      <w:lang w:eastAsia="zh-CN"/>
                    </w:rPr>
                  </w:pPr>
                  <w:r>
                    <w:rPr>
                      <w:rFonts w:hint="eastAsia" w:ascii="Times New Roman" w:hAnsi="Times New Roman" w:cs="Times New Roman"/>
                      <w:bCs/>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1406" w:type="dxa"/>
                  <w:vAlign w:val="top"/>
                </w:tcPr>
                <w:p>
                  <w:pPr>
                    <w:outlineLvl w:val="1"/>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等级证书</w:t>
                  </w:r>
                </w:p>
              </w:tc>
              <w:tc>
                <w:tcPr>
                  <w:tcW w:w="1406" w:type="dxa"/>
                  <w:gridSpan w:val="2"/>
                  <w:vAlign w:val="center"/>
                </w:tcPr>
                <w:p>
                  <w:pPr>
                    <w:jc w:val="left"/>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全国计算机等级考试一级b以上（含一级b）</w:t>
                  </w:r>
                </w:p>
              </w:tc>
              <w:tc>
                <w:tcPr>
                  <w:tcW w:w="1406" w:type="dxa"/>
                  <w:gridSpan w:val="2"/>
                  <w:vAlign w:val="center"/>
                </w:tcPr>
                <w:p>
                  <w:pPr>
                    <w:jc w:val="left"/>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教育部考试中心</w:t>
                  </w:r>
                </w:p>
              </w:tc>
              <w:tc>
                <w:tcPr>
                  <w:tcW w:w="1731" w:type="dxa"/>
                  <w:gridSpan w:val="2"/>
                  <w:vAlign w:val="center"/>
                </w:tcPr>
                <w:p>
                  <w:pPr>
                    <w:jc w:val="left"/>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计算机应用基础</w:t>
                  </w:r>
                </w:p>
              </w:tc>
              <w:tc>
                <w:tcPr>
                  <w:tcW w:w="1082" w:type="dxa"/>
                  <w:vAlign w:val="center"/>
                </w:tcPr>
                <w:p>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4</w:t>
                  </w:r>
                </w:p>
              </w:tc>
              <w:tc>
                <w:tcPr>
                  <w:tcW w:w="1407" w:type="dxa"/>
                  <w:gridSpan w:val="2"/>
                  <w:vAlign w:val="center"/>
                </w:tcPr>
                <w:p>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1406" w:type="dxa"/>
                  <w:vMerge w:val="restart"/>
                  <w:vAlign w:val="top"/>
                </w:tcPr>
                <w:p>
                  <w:pPr>
                    <w:outlineLvl w:val="1"/>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等级证书</w:t>
                  </w:r>
                </w:p>
              </w:tc>
              <w:tc>
                <w:tcPr>
                  <w:tcW w:w="1406" w:type="dxa"/>
                  <w:gridSpan w:val="2"/>
                  <w:vMerge w:val="restart"/>
                  <w:vAlign w:val="center"/>
                </w:tcPr>
                <w:p>
                  <w:pPr>
                    <w:jc w:val="left"/>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全国公共英语等级考试三级以上（含三级）</w:t>
                  </w:r>
                </w:p>
              </w:tc>
              <w:tc>
                <w:tcPr>
                  <w:tcW w:w="1406" w:type="dxa"/>
                  <w:gridSpan w:val="2"/>
                  <w:vMerge w:val="restart"/>
                  <w:vAlign w:val="center"/>
                </w:tcPr>
                <w:p>
                  <w:pPr>
                    <w:jc w:val="left"/>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教育部考试中心</w:t>
                  </w:r>
                </w:p>
              </w:tc>
              <w:tc>
                <w:tcPr>
                  <w:tcW w:w="1731" w:type="dxa"/>
                  <w:gridSpan w:val="2"/>
                  <w:vAlign w:val="center"/>
                </w:tcPr>
                <w:p>
                  <w:pPr>
                    <w:jc w:val="left"/>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英语（1）</w:t>
                  </w:r>
                </w:p>
              </w:tc>
              <w:tc>
                <w:tcPr>
                  <w:tcW w:w="1082" w:type="dxa"/>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3</w:t>
                  </w:r>
                </w:p>
              </w:tc>
              <w:tc>
                <w:tcPr>
                  <w:tcW w:w="1407" w:type="dxa"/>
                  <w:gridSpan w:val="2"/>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Pr>
              <w:tc>
                <w:tcPr>
                  <w:tcW w:w="1406" w:type="dxa"/>
                  <w:vMerge w:val="continue"/>
                </w:tcPr>
                <w:p>
                  <w:pPr>
                    <w:outlineLvl w:val="1"/>
                    <w:rPr>
                      <w:rFonts w:hint="default" w:ascii="Times New Roman" w:hAnsi="Times New Roman" w:eastAsia="宋体" w:cs="Times New Roman"/>
                      <w:bCs/>
                      <w:sz w:val="21"/>
                      <w:szCs w:val="21"/>
                    </w:rPr>
                  </w:pPr>
                </w:p>
              </w:tc>
              <w:tc>
                <w:tcPr>
                  <w:tcW w:w="1406" w:type="dxa"/>
                  <w:gridSpan w:val="2"/>
                  <w:vMerge w:val="continue"/>
                </w:tcPr>
                <w:p>
                  <w:pPr>
                    <w:jc w:val="left"/>
                    <w:rPr>
                      <w:rFonts w:hint="default" w:ascii="Times New Roman" w:hAnsi="Times New Roman" w:eastAsia="宋体" w:cs="Times New Roman"/>
                      <w:bCs/>
                      <w:sz w:val="21"/>
                      <w:szCs w:val="21"/>
                    </w:rPr>
                  </w:pPr>
                </w:p>
              </w:tc>
              <w:tc>
                <w:tcPr>
                  <w:tcW w:w="1406" w:type="dxa"/>
                  <w:gridSpan w:val="2"/>
                  <w:vMerge w:val="continue"/>
                </w:tcPr>
                <w:p>
                  <w:pPr>
                    <w:jc w:val="left"/>
                    <w:rPr>
                      <w:rFonts w:hint="default" w:ascii="Times New Roman" w:hAnsi="Times New Roman" w:eastAsia="宋体" w:cs="Times New Roman"/>
                      <w:bCs/>
                      <w:sz w:val="21"/>
                      <w:szCs w:val="21"/>
                    </w:rPr>
                  </w:pPr>
                </w:p>
              </w:tc>
              <w:tc>
                <w:tcPr>
                  <w:tcW w:w="1731" w:type="dxa"/>
                  <w:gridSpan w:val="2"/>
                  <w:vAlign w:val="center"/>
                </w:tcPr>
                <w:p>
                  <w:pPr>
                    <w:jc w:val="left"/>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英语（2）</w:t>
                  </w:r>
                </w:p>
              </w:tc>
              <w:tc>
                <w:tcPr>
                  <w:tcW w:w="1082" w:type="dxa"/>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3</w:t>
                  </w:r>
                </w:p>
              </w:tc>
              <w:tc>
                <w:tcPr>
                  <w:tcW w:w="1407" w:type="dxa"/>
                  <w:gridSpan w:val="2"/>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11"/>
                </w:tcPr>
                <w:p>
                  <w:pPr>
                    <w:jc w:val="cente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经验奖励类学习成果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tcPr>
                <w:p>
                  <w:pPr>
                    <w:outlineLvl w:val="1"/>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成果类别</w:t>
                  </w:r>
                </w:p>
              </w:tc>
              <w:tc>
                <w:tcPr>
                  <w:tcW w:w="1417" w:type="dxa"/>
                  <w:gridSpan w:val="2"/>
                </w:tcPr>
                <w:p>
                  <w:pPr>
                    <w:outlineLvl w:val="1"/>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成果名称</w:t>
                  </w:r>
                </w:p>
              </w:tc>
              <w:tc>
                <w:tcPr>
                  <w:tcW w:w="1418" w:type="dxa"/>
                  <w:gridSpan w:val="2"/>
                </w:tcPr>
                <w:p>
                  <w:pPr>
                    <w:outlineLvl w:val="1"/>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对应机构</w:t>
                  </w:r>
                </w:p>
              </w:tc>
              <w:tc>
                <w:tcPr>
                  <w:tcW w:w="1701" w:type="dxa"/>
                </w:tcPr>
                <w:p>
                  <w:pPr>
                    <w:outlineLvl w:val="1"/>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可转换实践课程</w:t>
                  </w:r>
                </w:p>
              </w:tc>
              <w:tc>
                <w:tcPr>
                  <w:tcW w:w="1134" w:type="dxa"/>
                  <w:gridSpan w:val="2"/>
                </w:tcPr>
                <w:p>
                  <w:pPr>
                    <w:outlineLvl w:val="1"/>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对应学分</w:t>
                  </w:r>
                </w:p>
              </w:tc>
              <w:tc>
                <w:tcPr>
                  <w:tcW w:w="1417" w:type="dxa"/>
                  <w:gridSpan w:val="2"/>
                </w:tcPr>
                <w:p>
                  <w:pPr>
                    <w:outlineLvl w:val="1"/>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tcPr>
                <w:p>
                  <w:pPr>
                    <w:outlineLvl w:val="1"/>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学习经验</w:t>
                  </w:r>
                </w:p>
              </w:tc>
              <w:tc>
                <w:tcPr>
                  <w:tcW w:w="1417" w:type="dxa"/>
                  <w:gridSpan w:val="2"/>
                </w:tcPr>
                <w:p>
                  <w:pPr>
                    <w:outlineLvl w:val="1"/>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“学习强国”学习积分</w:t>
                  </w:r>
                </w:p>
              </w:tc>
              <w:tc>
                <w:tcPr>
                  <w:tcW w:w="1418" w:type="dxa"/>
                  <w:gridSpan w:val="2"/>
                </w:tcPr>
                <w:p>
                  <w:pPr>
                    <w:outlineLvl w:val="1"/>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中宣部</w:t>
                  </w:r>
                </w:p>
              </w:tc>
              <w:tc>
                <w:tcPr>
                  <w:tcW w:w="1701" w:type="dxa"/>
                  <w:vAlign w:val="center"/>
                </w:tcPr>
                <w:p>
                  <w:pPr>
                    <w:autoSpaceDE w:val="0"/>
                    <w:autoSpaceDN w:val="0"/>
                    <w:adjustRightInd w:val="0"/>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kern w:val="0"/>
                      <w:sz w:val="21"/>
                      <w:szCs w:val="21"/>
                    </w:rPr>
                    <w:t>形势与政策</w:t>
                  </w:r>
                </w:p>
              </w:tc>
              <w:tc>
                <w:tcPr>
                  <w:tcW w:w="1134" w:type="dxa"/>
                  <w:gridSpan w:val="2"/>
                </w:tcPr>
                <w:p>
                  <w:pPr>
                    <w:outlineLvl w:val="1"/>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1000</w:t>
                  </w:r>
                </w:p>
              </w:tc>
              <w:tc>
                <w:tcPr>
                  <w:tcW w:w="1417" w:type="dxa"/>
                  <w:gridSpan w:val="2"/>
                </w:tcPr>
                <w:p>
                  <w:pPr>
                    <w:outlineLvl w:val="1"/>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vAlign w:val="top"/>
                </w:tcPr>
                <w:p>
                  <w:pPr>
                    <w:outlineLvl w:val="1"/>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工作经验</w:t>
                  </w:r>
                </w:p>
              </w:tc>
              <w:tc>
                <w:tcPr>
                  <w:tcW w:w="1417" w:type="dxa"/>
                  <w:gridSpan w:val="2"/>
                  <w:vAlign w:val="top"/>
                </w:tcPr>
                <w:p>
                  <w:pPr>
                    <w:outlineLvl w:val="1"/>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化工</w:t>
                  </w:r>
                  <w:r>
                    <w:rPr>
                      <w:rFonts w:hint="default" w:ascii="Times New Roman" w:hAnsi="Times New Roman" w:eastAsia="宋体" w:cs="Times New Roman"/>
                      <w:bCs/>
                      <w:color w:val="auto"/>
                      <w:sz w:val="21"/>
                      <w:szCs w:val="21"/>
                    </w:rPr>
                    <w:t>岗位1年及以上工作经历</w:t>
                  </w:r>
                </w:p>
              </w:tc>
              <w:tc>
                <w:tcPr>
                  <w:tcW w:w="1418" w:type="dxa"/>
                  <w:gridSpan w:val="2"/>
                  <w:vAlign w:val="top"/>
                </w:tcPr>
                <w:p>
                  <w:pPr>
                    <w:outlineLvl w:val="1"/>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企事业单位</w:t>
                  </w:r>
                </w:p>
              </w:tc>
              <w:tc>
                <w:tcPr>
                  <w:tcW w:w="1701" w:type="dxa"/>
                  <w:vAlign w:val="top"/>
                </w:tcPr>
                <w:p>
                  <w:pPr>
                    <w:outlineLvl w:val="1"/>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专业实习</w:t>
                  </w:r>
                </w:p>
              </w:tc>
              <w:tc>
                <w:tcPr>
                  <w:tcW w:w="1134" w:type="dxa"/>
                  <w:gridSpan w:val="2"/>
                  <w:vAlign w:val="top"/>
                </w:tcPr>
                <w:p>
                  <w:pPr>
                    <w:outlineLvl w:val="1"/>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sz w:val="21"/>
                      <w:szCs w:val="21"/>
                      <w:lang w:val="en-US" w:eastAsia="zh-CN"/>
                    </w:rPr>
                    <w:t>4</w:t>
                  </w:r>
                </w:p>
              </w:tc>
              <w:tc>
                <w:tcPr>
                  <w:tcW w:w="1417" w:type="dxa"/>
                  <w:gridSpan w:val="2"/>
                  <w:vAlign w:val="top"/>
                </w:tcPr>
                <w:p>
                  <w:pPr>
                    <w:outlineLvl w:val="1"/>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vAlign w:val="top"/>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auto"/>
                      <w:sz w:val="21"/>
                      <w:szCs w:val="21"/>
                    </w:rPr>
                    <w:t>竞赛获奖</w:t>
                  </w:r>
                </w:p>
              </w:tc>
              <w:tc>
                <w:tcPr>
                  <w:tcW w:w="1417" w:type="dxa"/>
                  <w:gridSpan w:val="2"/>
                  <w:vAlign w:val="top"/>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auto"/>
                      <w:sz w:val="21"/>
                      <w:szCs w:val="21"/>
                      <w:lang w:val="en-US" w:eastAsia="zh-CN"/>
                    </w:rPr>
                    <w:t>市</w:t>
                  </w:r>
                  <w:r>
                    <w:rPr>
                      <w:rFonts w:hint="default" w:ascii="Times New Roman" w:hAnsi="Times New Roman" w:eastAsia="宋体" w:cs="Times New Roman"/>
                      <w:bCs/>
                      <w:color w:val="auto"/>
                      <w:sz w:val="21"/>
                      <w:szCs w:val="21"/>
                    </w:rPr>
                    <w:t>级或以上</w:t>
                  </w:r>
                  <w:r>
                    <w:rPr>
                      <w:rFonts w:hint="default" w:ascii="Times New Roman" w:hAnsi="Times New Roman" w:eastAsia="宋体" w:cs="Times New Roman"/>
                      <w:bCs/>
                      <w:color w:val="auto"/>
                      <w:sz w:val="21"/>
                      <w:szCs w:val="21"/>
                      <w:lang w:val="en-US" w:eastAsia="zh-CN"/>
                    </w:rPr>
                    <w:t>化工</w:t>
                  </w:r>
                  <w:r>
                    <w:rPr>
                      <w:rFonts w:hint="default" w:ascii="Times New Roman" w:hAnsi="Times New Roman" w:eastAsia="宋体" w:cs="Times New Roman"/>
                      <w:bCs/>
                      <w:color w:val="auto"/>
                      <w:sz w:val="21"/>
                      <w:szCs w:val="21"/>
                    </w:rPr>
                    <w:t>相关技能竞赛3等奖及以上</w:t>
                  </w:r>
                </w:p>
              </w:tc>
              <w:tc>
                <w:tcPr>
                  <w:tcW w:w="1418" w:type="dxa"/>
                  <w:gridSpan w:val="2"/>
                  <w:vAlign w:val="top"/>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auto"/>
                      <w:sz w:val="21"/>
                      <w:szCs w:val="21"/>
                    </w:rPr>
                    <w:t>企事业单位</w:t>
                  </w:r>
                </w:p>
              </w:tc>
              <w:tc>
                <w:tcPr>
                  <w:tcW w:w="1701"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auto"/>
                      <w:sz w:val="21"/>
                      <w:szCs w:val="21"/>
                      <w:lang w:val="en-US" w:eastAsia="zh-CN"/>
                    </w:rPr>
                    <w:t>专业实习</w:t>
                  </w:r>
                </w:p>
              </w:tc>
              <w:tc>
                <w:tcPr>
                  <w:tcW w:w="1134" w:type="dxa"/>
                  <w:gridSpan w:val="2"/>
                  <w:vAlign w:val="top"/>
                </w:tcPr>
                <w:p>
                  <w:pPr>
                    <w:outlineLvl w:val="1"/>
                    <w:rPr>
                      <w:rFonts w:hint="default" w:ascii="Times New Roman" w:hAnsi="Times New Roman" w:eastAsia="宋体" w:cs="Times New Roman"/>
                      <w:bCs/>
                      <w:color w:val="000000"/>
                      <w:sz w:val="21"/>
                      <w:szCs w:val="21"/>
                      <w:lang w:eastAsia="zh-CN"/>
                    </w:rPr>
                  </w:pPr>
                  <w:r>
                    <w:rPr>
                      <w:rFonts w:hint="eastAsia" w:ascii="Times New Roman" w:hAnsi="Times New Roman" w:cs="Times New Roman"/>
                      <w:bCs/>
                      <w:color w:val="auto"/>
                      <w:sz w:val="21"/>
                      <w:szCs w:val="21"/>
                      <w:lang w:val="en-US" w:eastAsia="zh-CN"/>
                    </w:rPr>
                    <w:t>4</w:t>
                  </w:r>
                </w:p>
              </w:tc>
              <w:tc>
                <w:tcPr>
                  <w:tcW w:w="1417" w:type="dxa"/>
                  <w:gridSpan w:val="2"/>
                  <w:vAlign w:val="top"/>
                </w:tcPr>
                <w:p>
                  <w:pPr>
                    <w:outlineLvl w:val="1"/>
                    <w:rPr>
                      <w:rFonts w:hint="default" w:ascii="Times New Roman" w:hAnsi="Times New Roman" w:eastAsia="宋体" w:cs="Times New Roman"/>
                      <w:bCs/>
                      <w:color w:val="000000"/>
                      <w:sz w:val="21"/>
                      <w:szCs w:val="21"/>
                      <w:lang w:eastAsia="zh-CN"/>
                    </w:rPr>
                  </w:pPr>
                  <w:r>
                    <w:rPr>
                      <w:rFonts w:hint="eastAsia" w:ascii="Times New Roman" w:hAnsi="Times New Roman" w:cs="Times New Roman"/>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vAlign w:val="top"/>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auto"/>
                      <w:sz w:val="21"/>
                      <w:szCs w:val="21"/>
                    </w:rPr>
                    <w:t>获得奖励</w:t>
                  </w:r>
                </w:p>
              </w:tc>
              <w:tc>
                <w:tcPr>
                  <w:tcW w:w="1417" w:type="dxa"/>
                  <w:gridSpan w:val="2"/>
                  <w:vAlign w:val="top"/>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auto"/>
                      <w:sz w:val="21"/>
                      <w:szCs w:val="21"/>
                    </w:rPr>
                    <w:t>市级或以上</w:t>
                  </w:r>
                  <w:r>
                    <w:rPr>
                      <w:rFonts w:hint="default" w:ascii="Times New Roman" w:hAnsi="Times New Roman" w:eastAsia="宋体" w:cs="Times New Roman"/>
                      <w:bCs/>
                      <w:color w:val="auto"/>
                      <w:sz w:val="21"/>
                      <w:szCs w:val="21"/>
                      <w:lang w:val="en-US" w:eastAsia="zh-CN"/>
                    </w:rPr>
                    <w:t>化工</w:t>
                  </w:r>
                  <w:r>
                    <w:rPr>
                      <w:rFonts w:hint="default" w:ascii="Times New Roman" w:hAnsi="Times New Roman" w:eastAsia="宋体" w:cs="Times New Roman"/>
                      <w:bCs/>
                      <w:color w:val="auto"/>
                      <w:sz w:val="21"/>
                      <w:szCs w:val="21"/>
                    </w:rPr>
                    <w:t>相关工作奖励</w:t>
                  </w:r>
                </w:p>
              </w:tc>
              <w:tc>
                <w:tcPr>
                  <w:tcW w:w="1418" w:type="dxa"/>
                  <w:gridSpan w:val="2"/>
                  <w:vAlign w:val="top"/>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auto"/>
                      <w:sz w:val="21"/>
                      <w:szCs w:val="21"/>
                    </w:rPr>
                    <w:t>企事业单位</w:t>
                  </w:r>
                </w:p>
              </w:tc>
              <w:tc>
                <w:tcPr>
                  <w:tcW w:w="1701" w:type="dxa"/>
                  <w:vAlign w:val="top"/>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auto"/>
                      <w:sz w:val="21"/>
                      <w:szCs w:val="21"/>
                      <w:lang w:val="en-US" w:eastAsia="zh-CN"/>
                    </w:rPr>
                    <w:t>专业实习</w:t>
                  </w:r>
                </w:p>
              </w:tc>
              <w:tc>
                <w:tcPr>
                  <w:tcW w:w="1134" w:type="dxa"/>
                  <w:gridSpan w:val="2"/>
                  <w:vAlign w:val="top"/>
                </w:tcPr>
                <w:p>
                  <w:pPr>
                    <w:outlineLvl w:val="1"/>
                    <w:rPr>
                      <w:rFonts w:hint="default" w:ascii="Times New Roman" w:hAnsi="Times New Roman" w:eastAsia="宋体" w:cs="Times New Roman"/>
                      <w:bCs/>
                      <w:color w:val="000000"/>
                      <w:sz w:val="21"/>
                      <w:szCs w:val="21"/>
                    </w:rPr>
                  </w:pPr>
                  <w:r>
                    <w:rPr>
                      <w:rFonts w:hint="eastAsia" w:ascii="Times New Roman" w:hAnsi="Times New Roman" w:cs="Times New Roman"/>
                      <w:bCs/>
                      <w:color w:val="auto"/>
                      <w:sz w:val="21"/>
                      <w:szCs w:val="21"/>
                      <w:lang w:val="en-US" w:eastAsia="zh-CN"/>
                    </w:rPr>
                    <w:t>4</w:t>
                  </w:r>
                </w:p>
              </w:tc>
              <w:tc>
                <w:tcPr>
                  <w:tcW w:w="1417" w:type="dxa"/>
                  <w:gridSpan w:val="2"/>
                  <w:vAlign w:val="top"/>
                </w:tcPr>
                <w:p>
                  <w:pPr>
                    <w:outlineLvl w:val="1"/>
                    <w:rPr>
                      <w:rFonts w:hint="default" w:ascii="Times New Roman" w:hAnsi="Times New Roman" w:eastAsia="宋体" w:cs="Times New Roman"/>
                      <w:bCs/>
                      <w:color w:val="000000"/>
                      <w:sz w:val="21"/>
                      <w:szCs w:val="21"/>
                    </w:rPr>
                  </w:pPr>
                  <w:r>
                    <w:rPr>
                      <w:rFonts w:hint="eastAsia" w:ascii="Times New Roman" w:hAnsi="Times New Roman" w:cs="Times New Roman"/>
                      <w:bCs/>
                      <w:color w:val="auto"/>
                      <w:sz w:val="21"/>
                      <w:szCs w:val="21"/>
                      <w:lang w:val="en-US" w:eastAsia="zh-CN"/>
                    </w:rPr>
                    <w:t>4</w:t>
                  </w:r>
                </w:p>
              </w:tc>
            </w:tr>
          </w:tbl>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outlineLvl w:val="1"/>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（注：对应学分为该学习成果对应的课程学分，可转换学分为该学习成果可以转换成多少相应的课程学分。可转换学分小于等于对应学分）</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outlineLvl w:val="1"/>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除以上转换标准外，通过学习成果认证中心（学分银行）审核成为学习成果转换标准的最新校企合作证书和培训项目，也可以按标准规定学分进行成果转换。</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outlineLvl w:val="1"/>
              <w:rPr>
                <w:rFonts w:hint="default" w:ascii="Times New Roman" w:hAnsi="Times New Roman" w:eastAsia="宋体" w:cs="Times New Roman"/>
                <w:color w:val="000000"/>
                <w:sz w:val="24"/>
                <w:szCs w:val="24"/>
              </w:rPr>
            </w:pPr>
            <w:r>
              <w:rPr>
                <w:rFonts w:hint="default" w:ascii="Times New Roman" w:hAnsi="Times New Roman" w:eastAsia="宋体" w:cs="Times New Roman"/>
                <w:bCs/>
                <w:color w:val="auto"/>
                <w:sz w:val="24"/>
                <w:szCs w:val="24"/>
              </w:rPr>
              <w:t>访问江西开放大学学分银行网站可获取关于学习成果认证与转换操作指南及最新学习成果认证与转换标准等更详细信息。</w:t>
            </w:r>
          </w:p>
          <w:p>
            <w:pPr>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rPr>
                <w:rFonts w:hint="default" w:ascii="Times New Roman" w:hAnsi="Times New Roman" w:eastAsia="宋体" w:cs="Times New Roman"/>
                <w:color w:val="000000"/>
                <w:sz w:val="21"/>
                <w:szCs w:val="21"/>
              </w:rPr>
            </w:pPr>
          </w:p>
          <w:p>
            <w:pPr>
              <w:keepNext w:val="0"/>
              <w:keepLines w:val="0"/>
              <w:pageBreakBefore w:val="0"/>
              <w:widowControl w:val="0"/>
              <w:kinsoku/>
              <w:wordWrap/>
              <w:overflowPunct/>
              <w:topLinePunct w:val="0"/>
              <w:autoSpaceDN/>
              <w:bidi w:val="0"/>
              <w:adjustRightInd/>
              <w:snapToGrid/>
              <w:spacing w:line="360" w:lineRule="auto"/>
              <w:ind w:firstLine="482" w:firstLineChars="200"/>
              <w:textAlignment w:val="auto"/>
              <w:outlineLvl w:val="1"/>
              <w:rPr>
                <w:rFonts w:hint="default" w:ascii="Times New Roman" w:hAnsi="Times New Roman" w:eastAsia="宋体" w:cs="Times New Roman"/>
                <w:b/>
                <w:bCs/>
                <w:color w:val="000000"/>
                <w:sz w:val="24"/>
                <w:szCs w:val="24"/>
              </w:rPr>
            </w:pPr>
            <w:r>
              <w:rPr>
                <w:rFonts w:hint="eastAsia" w:ascii="Times New Roman" w:hAnsi="Times New Roman" w:cs="Times New Roman"/>
                <w:b/>
                <w:bCs/>
                <w:color w:val="000000"/>
                <w:sz w:val="24"/>
                <w:szCs w:val="24"/>
                <w:lang w:val="en-US" w:eastAsia="zh-CN"/>
              </w:rPr>
              <w:t>五</w:t>
            </w:r>
            <w:r>
              <w:rPr>
                <w:rFonts w:hint="default" w:ascii="Times New Roman" w:hAnsi="Times New Roman" w:eastAsia="宋体" w:cs="Times New Roman"/>
                <w:b/>
                <w:bCs/>
                <w:color w:val="000000"/>
                <w:sz w:val="24"/>
                <w:szCs w:val="24"/>
              </w:rPr>
              <w:t>、实践教学</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outlineLvl w:val="1"/>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auto"/>
                <w:sz w:val="24"/>
                <w:szCs w:val="24"/>
              </w:rPr>
              <w:t>本</w:t>
            </w:r>
            <w:r>
              <w:rPr>
                <w:rFonts w:hint="default" w:ascii="Times New Roman" w:hAnsi="Times New Roman" w:eastAsia="宋体" w:cs="Times New Roman"/>
                <w:bCs/>
                <w:color w:val="auto"/>
                <w:sz w:val="24"/>
                <w:szCs w:val="24"/>
                <w:highlight w:val="none"/>
              </w:rPr>
              <w:t>专业实践教学环节主要包括化工单元实训</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分析</w:t>
            </w:r>
            <w:r>
              <w:rPr>
                <w:rFonts w:hint="default" w:ascii="Times New Roman" w:hAnsi="Times New Roman" w:eastAsia="宋体" w:cs="Times New Roman"/>
                <w:bCs/>
                <w:color w:val="auto"/>
                <w:sz w:val="24"/>
                <w:szCs w:val="24"/>
                <w:highlight w:val="none"/>
                <w:lang w:val="en-US" w:eastAsia="zh-CN"/>
              </w:rPr>
              <w:t>检测</w:t>
            </w:r>
            <w:r>
              <w:rPr>
                <w:rFonts w:hint="default" w:ascii="Times New Roman" w:hAnsi="Times New Roman" w:eastAsia="宋体" w:cs="Times New Roman"/>
                <w:bCs/>
                <w:color w:val="auto"/>
                <w:sz w:val="24"/>
                <w:szCs w:val="24"/>
                <w:highlight w:val="none"/>
              </w:rPr>
              <w:t>综合实训</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管路拆装实训和化工综合实训，实践方式主要是个人在岗实践。</w:t>
            </w:r>
          </w:p>
          <w:tbl>
            <w:tblPr>
              <w:tblStyle w:val="1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992"/>
              <w:gridCol w:w="1843"/>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实践项目名称</w:t>
                  </w:r>
                </w:p>
              </w:tc>
              <w:tc>
                <w:tcPr>
                  <w:tcW w:w="992"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合作机构</w:t>
                  </w:r>
                </w:p>
              </w:tc>
              <w:tc>
                <w:tcPr>
                  <w:tcW w:w="1843"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实践方式</w:t>
                  </w:r>
                </w:p>
              </w:tc>
              <w:tc>
                <w:tcPr>
                  <w:tcW w:w="2126"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目标及内容</w:t>
                  </w:r>
                </w:p>
              </w:tc>
              <w:tc>
                <w:tcPr>
                  <w:tcW w:w="2126"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55" w:type="dxa"/>
                  <w:vMerge w:val="restart"/>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化工单元实训</w:t>
                  </w:r>
                </w:p>
              </w:tc>
              <w:tc>
                <w:tcPr>
                  <w:tcW w:w="992" w:type="dxa"/>
                  <w:vMerge w:val="restart"/>
                </w:tcPr>
                <w:p>
                  <w:pPr>
                    <w:outlineLvl w:val="1"/>
                    <w:rPr>
                      <w:rFonts w:hint="default" w:ascii="Times New Roman" w:hAnsi="Times New Roman" w:eastAsia="宋体" w:cs="Times New Roman"/>
                      <w:bCs/>
                      <w:color w:val="000000"/>
                      <w:sz w:val="21"/>
                      <w:szCs w:val="21"/>
                    </w:rPr>
                  </w:pPr>
                </w:p>
              </w:tc>
              <w:tc>
                <w:tcPr>
                  <w:tcW w:w="1843" w:type="dxa"/>
                  <w:vMerge w:val="restart"/>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sz w:val="21"/>
                      <w:szCs w:val="21"/>
                    </w:rPr>
                    <w:t>在岗实践</w:t>
                  </w:r>
                </w:p>
              </w:tc>
              <w:tc>
                <w:tcPr>
                  <w:tcW w:w="2126" w:type="dxa"/>
                  <w:vMerge w:val="restart"/>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通过本课程的学习，使学生掌握各单元的工艺流程，反应原理，工艺 参数制定、调节方法等理论知识、掌握各单元的冷态开车，正常工况的维护，正常停车操作及典型事故的判断处理。能进行各单元的开、 停车和复杂控制系统的调整，具有识别事故和排除事故的能力、具有 综合应用工程技术观念结合具体工程实践来分析和解决问题的能力。 培养学生严格遵守操作规程的职业素养、认真的工作态度与良好的工作习惯。</w:t>
                  </w:r>
                </w:p>
              </w:tc>
              <w:tc>
                <w:tcPr>
                  <w:tcW w:w="2126" w:type="dxa"/>
                  <w:vMerge w:val="restart"/>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课程的实践初评成绩按百分制。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55" w:type="dxa"/>
                  <w:vMerge w:val="continue"/>
                </w:tcPr>
                <w:p>
                  <w:pPr>
                    <w:outlineLvl w:val="1"/>
                    <w:rPr>
                      <w:rFonts w:hint="default" w:ascii="Times New Roman" w:hAnsi="Times New Roman" w:eastAsia="宋体" w:cs="Times New Roman"/>
                      <w:bCs/>
                      <w:color w:val="000000"/>
                      <w:sz w:val="21"/>
                      <w:szCs w:val="21"/>
                    </w:rPr>
                  </w:pPr>
                </w:p>
              </w:tc>
              <w:tc>
                <w:tcPr>
                  <w:tcW w:w="992" w:type="dxa"/>
                  <w:vMerge w:val="continue"/>
                </w:tcPr>
                <w:p>
                  <w:pPr>
                    <w:outlineLvl w:val="1"/>
                    <w:rPr>
                      <w:rFonts w:hint="default" w:ascii="Times New Roman" w:hAnsi="Times New Roman" w:eastAsia="宋体" w:cs="Times New Roman"/>
                      <w:bCs/>
                      <w:color w:val="000000"/>
                      <w:sz w:val="21"/>
                      <w:szCs w:val="21"/>
                    </w:rPr>
                  </w:pPr>
                </w:p>
              </w:tc>
              <w:tc>
                <w:tcPr>
                  <w:tcW w:w="1843" w:type="dxa"/>
                  <w:vMerge w:val="continue"/>
                </w:tcPr>
                <w:p>
                  <w:pPr>
                    <w:outlineLvl w:val="1"/>
                    <w:rPr>
                      <w:rFonts w:hint="default" w:ascii="Times New Roman" w:hAnsi="Times New Roman" w:eastAsia="宋体" w:cs="Times New Roman"/>
                      <w:bCs/>
                      <w:color w:val="000000"/>
                      <w:sz w:val="21"/>
                      <w:szCs w:val="21"/>
                    </w:rPr>
                  </w:pPr>
                </w:p>
              </w:tc>
              <w:tc>
                <w:tcPr>
                  <w:tcW w:w="2126" w:type="dxa"/>
                  <w:vMerge w:val="continue"/>
                </w:tcPr>
                <w:p>
                  <w:pPr>
                    <w:outlineLvl w:val="1"/>
                    <w:rPr>
                      <w:rFonts w:hint="default" w:ascii="Times New Roman" w:hAnsi="Times New Roman" w:eastAsia="宋体" w:cs="Times New Roman"/>
                      <w:bCs/>
                      <w:color w:val="000000"/>
                      <w:sz w:val="21"/>
                      <w:szCs w:val="21"/>
                    </w:rPr>
                  </w:pPr>
                </w:p>
              </w:tc>
              <w:tc>
                <w:tcPr>
                  <w:tcW w:w="2126" w:type="dxa"/>
                  <w:vMerge w:val="continue"/>
                </w:tcPr>
                <w:p>
                  <w:pPr>
                    <w:outlineLvl w:val="1"/>
                    <w:rPr>
                      <w:rFonts w:hint="default" w:ascii="Times New Roman" w:hAnsi="Times New Roman" w:eastAsia="宋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55" w:type="dxa"/>
                  <w:vMerge w:val="continue"/>
                </w:tcPr>
                <w:p>
                  <w:pPr>
                    <w:outlineLvl w:val="1"/>
                    <w:rPr>
                      <w:rFonts w:hint="default" w:ascii="Times New Roman" w:hAnsi="Times New Roman" w:eastAsia="宋体" w:cs="Times New Roman"/>
                      <w:bCs/>
                      <w:color w:val="000000"/>
                      <w:sz w:val="21"/>
                      <w:szCs w:val="21"/>
                    </w:rPr>
                  </w:pPr>
                </w:p>
              </w:tc>
              <w:tc>
                <w:tcPr>
                  <w:tcW w:w="992" w:type="dxa"/>
                  <w:vMerge w:val="continue"/>
                </w:tcPr>
                <w:p>
                  <w:pPr>
                    <w:outlineLvl w:val="1"/>
                    <w:rPr>
                      <w:rFonts w:hint="default" w:ascii="Times New Roman" w:hAnsi="Times New Roman" w:eastAsia="宋体" w:cs="Times New Roman"/>
                      <w:bCs/>
                      <w:color w:val="000000"/>
                      <w:sz w:val="21"/>
                      <w:szCs w:val="21"/>
                    </w:rPr>
                  </w:pPr>
                </w:p>
              </w:tc>
              <w:tc>
                <w:tcPr>
                  <w:tcW w:w="1843" w:type="dxa"/>
                  <w:vMerge w:val="continue"/>
                </w:tcPr>
                <w:p>
                  <w:pPr>
                    <w:outlineLvl w:val="1"/>
                    <w:rPr>
                      <w:rFonts w:hint="default" w:ascii="Times New Roman" w:hAnsi="Times New Roman" w:eastAsia="宋体" w:cs="Times New Roman"/>
                      <w:bCs/>
                      <w:color w:val="000000"/>
                      <w:sz w:val="21"/>
                      <w:szCs w:val="21"/>
                    </w:rPr>
                  </w:pPr>
                </w:p>
              </w:tc>
              <w:tc>
                <w:tcPr>
                  <w:tcW w:w="2126" w:type="dxa"/>
                  <w:vMerge w:val="continue"/>
                </w:tcPr>
                <w:p>
                  <w:pPr>
                    <w:outlineLvl w:val="1"/>
                    <w:rPr>
                      <w:rFonts w:hint="default" w:ascii="Times New Roman" w:hAnsi="Times New Roman" w:eastAsia="宋体" w:cs="Times New Roman"/>
                      <w:bCs/>
                      <w:color w:val="000000"/>
                      <w:sz w:val="21"/>
                      <w:szCs w:val="21"/>
                    </w:rPr>
                  </w:pPr>
                </w:p>
              </w:tc>
              <w:tc>
                <w:tcPr>
                  <w:tcW w:w="2126" w:type="dxa"/>
                  <w:vMerge w:val="continue"/>
                </w:tcPr>
                <w:p>
                  <w:pPr>
                    <w:outlineLvl w:val="1"/>
                    <w:rPr>
                      <w:rFonts w:hint="default" w:ascii="Times New Roman" w:hAnsi="Times New Roman" w:eastAsia="宋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分析</w:t>
                  </w:r>
                  <w:r>
                    <w:rPr>
                      <w:rFonts w:hint="default" w:ascii="Times New Roman" w:hAnsi="Times New Roman" w:eastAsia="宋体" w:cs="Times New Roman"/>
                      <w:bCs/>
                      <w:color w:val="000000"/>
                      <w:sz w:val="21"/>
                      <w:szCs w:val="21"/>
                      <w:lang w:val="en-US" w:eastAsia="zh-CN"/>
                    </w:rPr>
                    <w:t>检测</w:t>
                  </w:r>
                  <w:r>
                    <w:rPr>
                      <w:rFonts w:hint="default" w:ascii="Times New Roman" w:hAnsi="Times New Roman" w:eastAsia="宋体" w:cs="Times New Roman"/>
                      <w:bCs/>
                      <w:color w:val="000000"/>
                      <w:sz w:val="21"/>
                      <w:szCs w:val="21"/>
                    </w:rPr>
                    <w:t>综合实训</w:t>
                  </w:r>
                </w:p>
              </w:tc>
              <w:tc>
                <w:tcPr>
                  <w:tcW w:w="992" w:type="dxa"/>
                </w:tcPr>
                <w:p>
                  <w:pPr>
                    <w:outlineLvl w:val="1"/>
                    <w:rPr>
                      <w:rFonts w:hint="default" w:ascii="Times New Roman" w:hAnsi="Times New Roman" w:eastAsia="宋体" w:cs="Times New Roman"/>
                      <w:bCs/>
                      <w:color w:val="000000"/>
                      <w:sz w:val="21"/>
                      <w:szCs w:val="21"/>
                    </w:rPr>
                  </w:pPr>
                </w:p>
              </w:tc>
              <w:tc>
                <w:tcPr>
                  <w:tcW w:w="1843"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sz w:val="21"/>
                      <w:szCs w:val="21"/>
                    </w:rPr>
                    <w:t>在岗实践</w:t>
                  </w:r>
                </w:p>
              </w:tc>
              <w:tc>
                <w:tcPr>
                  <w:tcW w:w="2126" w:type="dxa"/>
                </w:tcPr>
                <w:p>
                  <w:pPr>
                    <w:outlineLvl w:val="1"/>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rPr>
                    <w:t>要求学生在规定的时间内，学生能独立、规范地完成实训，并具备对 所得数据进行记录、运算、分析处理，写出实训报告。通过对化学分 析的基本知识、基本操作、基本技能进行强化训练，培养学生的专业 技能和实际操作能力，提高动手能力，培养学生严谨踏实的科学态度， 实事求是的职业作风，综合应用所学知识能力以及分析问题解决问题 的能力</w:t>
                  </w:r>
                  <w:r>
                    <w:rPr>
                      <w:rFonts w:hint="default" w:ascii="Times New Roman" w:hAnsi="Times New Roman" w:eastAsia="宋体" w:cs="Times New Roman"/>
                      <w:bCs/>
                      <w:color w:val="000000"/>
                      <w:sz w:val="21"/>
                      <w:szCs w:val="21"/>
                      <w:lang w:eastAsia="zh-CN"/>
                    </w:rPr>
                    <w:t>。</w:t>
                  </w:r>
                </w:p>
              </w:tc>
              <w:tc>
                <w:tcPr>
                  <w:tcW w:w="2126"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课程的实践初评成绩按百分制。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管路拆装实训</w:t>
                  </w:r>
                </w:p>
              </w:tc>
              <w:tc>
                <w:tcPr>
                  <w:tcW w:w="992" w:type="dxa"/>
                </w:tcPr>
                <w:p>
                  <w:pPr>
                    <w:outlineLvl w:val="1"/>
                    <w:rPr>
                      <w:rFonts w:hint="default" w:ascii="Times New Roman" w:hAnsi="Times New Roman" w:eastAsia="宋体" w:cs="Times New Roman"/>
                      <w:bCs/>
                      <w:color w:val="000000"/>
                      <w:sz w:val="21"/>
                      <w:szCs w:val="21"/>
                    </w:rPr>
                  </w:pPr>
                </w:p>
              </w:tc>
              <w:tc>
                <w:tcPr>
                  <w:tcW w:w="1843"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sz w:val="21"/>
                      <w:szCs w:val="21"/>
                    </w:rPr>
                    <w:t>在岗实践</w:t>
                  </w:r>
                </w:p>
              </w:tc>
              <w:tc>
                <w:tcPr>
                  <w:tcW w:w="2126" w:type="dxa"/>
                </w:tcPr>
                <w:p>
                  <w:pPr>
                    <w:outlineLvl w:val="1"/>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rPr>
                    <w:t>要求学生认识化工管路的构成和常用管件、阀门的作用，认识工 具并能使用，测定所安装的管路的尺寸，并能绘制简单的管路图</w:t>
                  </w:r>
                  <w:r>
                    <w:rPr>
                      <w:rFonts w:hint="default" w:ascii="Times New Roman" w:hAnsi="Times New Roman" w:eastAsia="宋体" w:cs="Times New Roman"/>
                      <w:bCs/>
                      <w:color w:val="000000"/>
                      <w:sz w:val="21"/>
                      <w:szCs w:val="21"/>
                      <w:lang w:eastAsia="zh-CN"/>
                    </w:rPr>
                    <w:t>，</w:t>
                  </w:r>
                  <w:r>
                    <w:rPr>
                      <w:rFonts w:hint="default" w:ascii="Times New Roman" w:hAnsi="Times New Roman" w:eastAsia="宋体" w:cs="Times New Roman"/>
                      <w:bCs/>
                      <w:color w:val="000000"/>
                      <w:sz w:val="21"/>
                      <w:szCs w:val="21"/>
                    </w:rPr>
                    <w:t>对管路进行水压试验</w:t>
                  </w:r>
                  <w:r>
                    <w:rPr>
                      <w:rFonts w:hint="default" w:ascii="Times New Roman" w:hAnsi="Times New Roman" w:eastAsia="宋体" w:cs="Times New Roman"/>
                      <w:bCs/>
                      <w:color w:val="000000"/>
                      <w:sz w:val="21"/>
                      <w:szCs w:val="21"/>
                      <w:lang w:eastAsia="zh-CN"/>
                    </w:rPr>
                    <w:t>。</w:t>
                  </w:r>
                </w:p>
              </w:tc>
              <w:tc>
                <w:tcPr>
                  <w:tcW w:w="2126"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课程的实践初评成绩按百分制。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化工综合实训</w:t>
                  </w:r>
                </w:p>
              </w:tc>
              <w:tc>
                <w:tcPr>
                  <w:tcW w:w="992" w:type="dxa"/>
                </w:tcPr>
                <w:p>
                  <w:pPr>
                    <w:outlineLvl w:val="1"/>
                    <w:rPr>
                      <w:rFonts w:hint="default" w:ascii="Times New Roman" w:hAnsi="Times New Roman" w:eastAsia="宋体" w:cs="Times New Roman"/>
                      <w:bCs/>
                      <w:color w:val="000000"/>
                      <w:sz w:val="21"/>
                      <w:szCs w:val="21"/>
                    </w:rPr>
                  </w:pPr>
                </w:p>
              </w:tc>
              <w:tc>
                <w:tcPr>
                  <w:tcW w:w="1843"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sz w:val="21"/>
                      <w:szCs w:val="21"/>
                    </w:rPr>
                    <w:t>在岗实践</w:t>
                  </w:r>
                </w:p>
              </w:tc>
              <w:tc>
                <w:tcPr>
                  <w:tcW w:w="2126"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通过专业综合实训，使学生在已学化工单元操作技术、化工设备使用与维护、化工仪表及自动化的基础上，以流体输送实训装置、综合传 热实训装置、精馏实训装置为依托，培养学生综合运用所学知识分析 问题、解决问题的能力，培养学生胜任化工企业相关岗位所必须的操 作技能。培养学生爱岗敬业的品质和吃苦耐劳的工作热情；培养严谨</w:t>
                  </w:r>
                  <w:r>
                    <w:rPr>
                      <w:rFonts w:hint="default" w:ascii="Times New Roman" w:hAnsi="Times New Roman" w:eastAsia="宋体" w:cs="Times New Roman"/>
                      <w:bCs/>
                      <w:color w:val="000000"/>
                      <w:sz w:val="21"/>
                      <w:szCs w:val="21"/>
                      <w:lang w:eastAsia="zh-CN"/>
                    </w:rPr>
                    <w:t>、</w:t>
                  </w:r>
                  <w:r>
                    <w:rPr>
                      <w:rFonts w:hint="default" w:ascii="Times New Roman" w:hAnsi="Times New Roman" w:eastAsia="宋体" w:cs="Times New Roman"/>
                      <w:bCs/>
                      <w:color w:val="000000"/>
                      <w:sz w:val="21"/>
                      <w:szCs w:val="21"/>
                    </w:rPr>
                    <w:t>实事求是的工作作风；培养团结协作的团队意识；培养工程观念和工程意识；培养清洁生产的意识。</w:t>
                  </w:r>
                </w:p>
              </w:tc>
              <w:tc>
                <w:tcPr>
                  <w:tcW w:w="2126" w:type="dxa"/>
                </w:tcPr>
                <w:p>
                  <w:pPr>
                    <w:outlineLvl w:val="1"/>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课程的实践初评成绩按百分制。</w:t>
                  </w:r>
                </w:p>
              </w:tc>
            </w:tr>
          </w:tbl>
          <w:p>
            <w:pPr>
              <w:ind w:firstLine="422" w:firstLineChars="200"/>
              <w:outlineLvl w:val="1"/>
              <w:rPr>
                <w:rFonts w:hint="default" w:ascii="Times New Roman" w:hAnsi="Times New Roman" w:eastAsia="宋体" w:cs="Times New Roman"/>
                <w:b/>
                <w:bCs/>
                <w:color w:val="000000"/>
                <w:sz w:val="21"/>
                <w:szCs w:val="21"/>
              </w:rPr>
            </w:pPr>
          </w:p>
          <w:p>
            <w:pPr>
              <w:ind w:firstLine="482" w:firstLineChars="200"/>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六</w:t>
            </w:r>
            <w:r>
              <w:rPr>
                <w:rFonts w:hint="eastAsia" w:ascii="宋体" w:hAnsi="宋体" w:eastAsia="宋体" w:cs="宋体"/>
                <w:b/>
                <w:bCs/>
                <w:color w:val="000000"/>
                <w:sz w:val="24"/>
                <w:szCs w:val="24"/>
              </w:rPr>
              <w:t>、毕业规则</w:t>
            </w:r>
          </w:p>
          <w:p>
            <w:pPr>
              <w:ind w:firstLine="480" w:firstLineChars="200"/>
              <w:outlineLvl w:val="1"/>
              <w:rPr>
                <w:rFonts w:hint="eastAsia" w:ascii="宋体" w:hAnsi="宋体" w:eastAsia="宋体" w:cs="宋体"/>
                <w:b/>
                <w:bCs/>
                <w:color w:val="000000"/>
                <w:sz w:val="24"/>
                <w:szCs w:val="24"/>
              </w:rPr>
            </w:pPr>
            <w:r>
              <w:rPr>
                <w:rFonts w:hint="eastAsia" w:ascii="宋体" w:hAnsi="宋体" w:eastAsia="宋体" w:cs="宋体"/>
                <w:color w:val="000000"/>
                <w:sz w:val="24"/>
                <w:szCs w:val="24"/>
              </w:rPr>
              <w:t>思想政治理论课、公共基础课、专业基础课、专业课、技能实践课、企业特色课、通识课</w:t>
            </w:r>
          </w:p>
          <w:p>
            <w:pPr>
              <w:autoSpaceDE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本专业各模块最低毕业学分依次是：</w:t>
            </w:r>
          </w:p>
          <w:p>
            <w:pPr>
              <w:autoSpaceDE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思想政治理论课：</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学分</w:t>
            </w:r>
          </w:p>
          <w:p>
            <w:pPr>
              <w:autoSpaceDE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公共基础课：</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学分</w:t>
            </w:r>
          </w:p>
          <w:p>
            <w:pPr>
              <w:autoSpaceDE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专业基础课：</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学分</w:t>
            </w:r>
          </w:p>
          <w:p>
            <w:pPr>
              <w:autoSpaceDE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专业课：</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学分</w:t>
            </w:r>
          </w:p>
          <w:p>
            <w:pPr>
              <w:autoSpaceDE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通识课：2学分</w:t>
            </w:r>
          </w:p>
          <w:p>
            <w:pPr>
              <w:autoSpaceDE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企业特色课：6学分</w:t>
            </w:r>
          </w:p>
          <w:p>
            <w:pPr>
              <w:autoSpaceDE w:val="0"/>
              <w:ind w:firstLine="480" w:firstLineChars="200"/>
              <w:rPr>
                <w:rFonts w:hint="eastAsia" w:ascii="宋体" w:hAnsi="宋体" w:eastAsia="宋体" w:cs="宋体"/>
                <w:color w:val="000000"/>
                <w:sz w:val="24"/>
                <w:szCs w:val="24"/>
              </w:rPr>
            </w:pPr>
            <w:r>
              <w:rPr>
                <w:rFonts w:hint="eastAsia" w:ascii="宋体" w:hAnsi="宋体" w:eastAsia="宋体" w:cs="宋体"/>
                <w:color w:val="auto"/>
                <w:sz w:val="24"/>
                <w:szCs w:val="24"/>
                <w:highlight w:val="none"/>
              </w:rPr>
              <w:t>技能实践课：</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学分</w:t>
            </w:r>
            <w:r>
              <w:rPr>
                <w:rFonts w:hint="eastAsia" w:ascii="宋体" w:hAnsi="宋体" w:eastAsia="宋体" w:cs="宋体"/>
                <w:color w:val="000000"/>
                <w:sz w:val="24"/>
                <w:szCs w:val="24"/>
              </w:rPr>
              <w:tab/>
            </w:r>
          </w:p>
          <w:p>
            <w:pPr>
              <w:autoSpaceDE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本专业实行学分管理</w:t>
            </w:r>
            <w:r>
              <w:rPr>
                <w:rFonts w:hint="eastAsia" w:ascii="宋体" w:hAnsi="宋体" w:eastAsia="宋体" w:cs="宋体"/>
                <w:sz w:val="24"/>
                <w:szCs w:val="24"/>
              </w:rPr>
              <w:t>，课程期末考试成绩占总成绩比例为40%-80%，具体比例由课程责任教师按需制定，毕业学分为</w:t>
            </w:r>
            <w:r>
              <w:rPr>
                <w:rFonts w:hint="eastAsia" w:ascii="宋体" w:hAnsi="宋体" w:cs="宋体"/>
                <w:sz w:val="24"/>
                <w:szCs w:val="24"/>
                <w:lang w:val="en-US" w:eastAsia="zh-CN"/>
              </w:rPr>
              <w:t>90</w:t>
            </w:r>
            <w:r>
              <w:rPr>
                <w:rFonts w:hint="eastAsia" w:ascii="宋体" w:hAnsi="宋体" w:eastAsia="宋体" w:cs="宋体"/>
                <w:sz w:val="24"/>
                <w:szCs w:val="24"/>
              </w:rPr>
              <w:t>学分。学生</w:t>
            </w:r>
            <w:r>
              <w:rPr>
                <w:rFonts w:hint="eastAsia" w:ascii="宋体" w:hAnsi="宋体" w:eastAsia="宋体" w:cs="宋体"/>
                <w:color w:val="000000"/>
                <w:sz w:val="24"/>
                <w:szCs w:val="24"/>
              </w:rPr>
              <w:t>注册取得学籍后学分</w:t>
            </w:r>
            <w:r>
              <w:rPr>
                <w:rFonts w:hint="eastAsia" w:ascii="宋体" w:hAnsi="宋体" w:cs="宋体"/>
                <w:color w:val="FF0000"/>
                <w:sz w:val="24"/>
                <w:szCs w:val="24"/>
                <w:lang w:val="en-US" w:eastAsia="zh-CN"/>
              </w:rPr>
              <w:t>五</w:t>
            </w:r>
            <w:bookmarkStart w:id="4" w:name="_GoBack"/>
            <w:bookmarkEnd w:id="4"/>
            <w:r>
              <w:rPr>
                <w:rFonts w:hint="eastAsia" w:ascii="宋体" w:hAnsi="宋体" w:eastAsia="宋体" w:cs="宋体"/>
                <w:color w:val="000000"/>
                <w:sz w:val="24"/>
                <w:szCs w:val="24"/>
              </w:rPr>
              <w:t>年有效。学生修满学分并经思想道德品德鉴定为合格，准予毕业并由江西开放大学颁发成人高等教育专科毕业证书，国家承认其学历。</w:t>
            </w:r>
          </w:p>
          <w:p>
            <w:pPr>
              <w:autoSpaceDE w:val="0"/>
              <w:ind w:firstLine="420" w:firstLineChars="200"/>
              <w:rPr>
                <w:rFonts w:hint="default" w:ascii="Times New Roman" w:hAnsi="Times New Roman" w:eastAsia="宋体" w:cs="Times New Roman"/>
                <w:color w:val="000000"/>
                <w:sz w:val="21"/>
                <w:szCs w:val="21"/>
              </w:rPr>
            </w:pPr>
          </w:p>
          <w:p>
            <w:pPr>
              <w:autoSpaceDE w:val="0"/>
              <w:ind w:firstLine="482" w:firstLineChars="200"/>
              <w:rPr>
                <w:rFonts w:hint="default" w:ascii="Times New Roman" w:hAnsi="Times New Roman" w:eastAsia="宋体" w:cs="Times New Roman"/>
                <w:b/>
                <w:bCs/>
                <w:color w:val="000000"/>
                <w:sz w:val="24"/>
                <w:szCs w:val="24"/>
              </w:rPr>
            </w:pPr>
            <w:r>
              <w:rPr>
                <w:rFonts w:hint="eastAsia" w:ascii="Times New Roman" w:hAnsi="Times New Roman" w:cs="Times New Roman"/>
                <w:b/>
                <w:bCs/>
                <w:color w:val="000000"/>
                <w:sz w:val="24"/>
                <w:szCs w:val="24"/>
                <w:lang w:val="en-US" w:eastAsia="zh-CN"/>
              </w:rPr>
              <w:t>七</w:t>
            </w:r>
            <w:r>
              <w:rPr>
                <w:rFonts w:hint="default" w:ascii="Times New Roman" w:hAnsi="Times New Roman" w:eastAsia="宋体" w:cs="Times New Roman"/>
                <w:b/>
                <w:bCs/>
                <w:color w:val="000000"/>
                <w:sz w:val="24"/>
                <w:szCs w:val="24"/>
              </w:rPr>
              <w:t>、教学计划进程表</w:t>
            </w:r>
          </w:p>
          <w:p>
            <w:pPr>
              <w:autoSpaceDE w:val="0"/>
              <w:ind w:firstLine="482" w:firstLineChars="200"/>
              <w:rPr>
                <w:rFonts w:hint="default" w:ascii="Times New Roman" w:hAnsi="Times New Roman" w:eastAsia="宋体" w:cs="Times New Roman"/>
                <w:b/>
                <w:bCs/>
                <w:color w:val="000000"/>
                <w:sz w:val="24"/>
                <w:szCs w:val="24"/>
              </w:rPr>
            </w:pPr>
          </w:p>
          <w:p>
            <w:pPr>
              <w:jc w:val="center"/>
              <w:rPr>
                <w:rFonts w:ascii="黑体" w:hAnsi="黑体" w:eastAsia="黑体" w:cs="Arial"/>
                <w:b/>
                <w:kern w:val="0"/>
                <w:sz w:val="28"/>
                <w:szCs w:val="28"/>
              </w:rPr>
            </w:pPr>
            <w:r>
              <w:rPr>
                <w:rFonts w:hint="eastAsia" w:ascii="黑体" w:hAnsi="黑体" w:eastAsia="黑体"/>
                <w:b/>
                <w:sz w:val="28"/>
                <w:szCs w:val="28"/>
                <w:lang w:val="en-US" w:eastAsia="zh-CN"/>
              </w:rPr>
              <w:t>生物与化工</w:t>
            </w:r>
            <w:r>
              <w:rPr>
                <w:rFonts w:hint="eastAsia" w:ascii="黑体" w:hAnsi="黑体" w:eastAsia="黑体" w:cs="Arial"/>
                <w:b/>
                <w:kern w:val="0"/>
                <w:sz w:val="28"/>
                <w:szCs w:val="28"/>
              </w:rPr>
              <w:t>大类</w:t>
            </w:r>
            <w:r>
              <w:rPr>
                <w:rFonts w:hint="eastAsia" w:ascii="黑体" w:hAnsi="黑体" w:eastAsia="黑体"/>
                <w:b/>
                <w:sz w:val="28"/>
                <w:szCs w:val="28"/>
                <w:lang w:val="en-US" w:eastAsia="zh-CN"/>
              </w:rPr>
              <w:t>化工技术类</w:t>
            </w:r>
          </w:p>
          <w:p>
            <w:pPr>
              <w:autoSpaceDE w:val="0"/>
              <w:autoSpaceDN w:val="0"/>
              <w:adjustRightInd w:val="0"/>
              <w:jc w:val="center"/>
              <w:rPr>
                <w:rFonts w:ascii="黑体" w:hAnsi="黑体" w:eastAsia="黑体" w:cs="Arial"/>
                <w:b/>
                <w:kern w:val="0"/>
                <w:sz w:val="28"/>
                <w:szCs w:val="28"/>
              </w:rPr>
            </w:pPr>
            <w:r>
              <w:rPr>
                <w:rFonts w:hint="eastAsia" w:ascii="黑体" w:hAnsi="黑体" w:eastAsia="黑体"/>
                <w:b/>
                <w:sz w:val="28"/>
                <w:szCs w:val="28"/>
                <w:lang w:val="en-US" w:eastAsia="zh-CN"/>
              </w:rPr>
              <w:t>应用化工技术</w:t>
            </w:r>
            <w:r>
              <w:rPr>
                <w:rFonts w:ascii="黑体" w:hAnsi="黑体" w:eastAsia="黑体"/>
                <w:b/>
                <w:bCs/>
                <w:sz w:val="28"/>
                <w:szCs w:val="28"/>
              </w:rPr>
              <w:t>专业</w:t>
            </w:r>
            <w:r>
              <w:rPr>
                <w:rFonts w:hint="eastAsia" w:ascii="黑体" w:hAnsi="黑体" w:eastAsia="黑体"/>
                <w:b/>
                <w:sz w:val="28"/>
                <w:szCs w:val="28"/>
              </w:rPr>
              <w:t>（</w:t>
            </w:r>
            <w:r>
              <w:rPr>
                <w:rFonts w:hint="eastAsia" w:ascii="黑体" w:hAnsi="黑体" w:eastAsia="黑体" w:cs="Arial"/>
                <w:b/>
                <w:kern w:val="0"/>
                <w:sz w:val="28"/>
                <w:szCs w:val="28"/>
              </w:rPr>
              <w:t>专科）</w:t>
            </w:r>
            <w:r>
              <w:rPr>
                <w:rFonts w:hint="eastAsia" w:ascii="黑体" w:hAnsi="黑体" w:eastAsia="黑体"/>
                <w:b/>
                <w:bCs/>
                <w:sz w:val="28"/>
                <w:szCs w:val="28"/>
              </w:rPr>
              <w:t>教学计划</w:t>
            </w:r>
            <w:r>
              <w:rPr>
                <w:rFonts w:ascii="黑体" w:hAnsi="黑体" w:eastAsia="黑体" w:cs="Arial"/>
                <w:b/>
                <w:kern w:val="0"/>
                <w:sz w:val="28"/>
                <w:szCs w:val="28"/>
              </w:rPr>
              <w:t>进程表</w:t>
            </w:r>
          </w:p>
          <w:tbl>
            <w:tblPr>
              <w:tblStyle w:val="13"/>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796"/>
              <w:gridCol w:w="2212"/>
              <w:gridCol w:w="2499"/>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1" w:hRule="atLeast"/>
                <w:jc w:val="center"/>
              </w:trPr>
              <w:tc>
                <w:tcPr>
                  <w:tcW w:w="1796"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专业名称</w:t>
                  </w:r>
                </w:p>
              </w:tc>
              <w:tc>
                <w:tcPr>
                  <w:tcW w:w="2212"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hint="eastAsia" w:ascii="Times New Roman" w:hAnsi="Times New Roman"/>
                      <w:b/>
                      <w:bCs/>
                      <w:color w:val="000000" w:themeColor="text1"/>
                      <w:sz w:val="20"/>
                      <w:szCs w:val="20"/>
                      <w:lang w:val="en-US" w:eastAsia="zh-CN"/>
                      <w14:textFill>
                        <w14:solidFill>
                          <w14:schemeClr w14:val="tx1"/>
                        </w14:solidFill>
                      </w14:textFill>
                    </w:rPr>
                    <w:t>应用化工技术</w:t>
                  </w:r>
                </w:p>
              </w:tc>
              <w:tc>
                <w:tcPr>
                  <w:tcW w:w="2499"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专业代码</w:t>
                  </w:r>
                </w:p>
              </w:tc>
              <w:tc>
                <w:tcPr>
                  <w:tcW w:w="2255"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hint="eastAsia" w:ascii="Times New Roman" w:hAnsi="Times New Roman"/>
                      <w:b/>
                      <w:bCs/>
                      <w:color w:val="000000" w:themeColor="text1"/>
                      <w:sz w:val="20"/>
                      <w:szCs w:val="20"/>
                      <w14:textFill>
                        <w14:solidFill>
                          <w14:schemeClr w14:val="tx1"/>
                        </w14:solidFill>
                      </w14:textFill>
                    </w:rPr>
                    <w:t>470201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1" w:hRule="atLeast"/>
                <w:jc w:val="center"/>
              </w:trPr>
              <w:tc>
                <w:tcPr>
                  <w:tcW w:w="1796"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学习形式及年限</w:t>
                  </w:r>
                </w:p>
              </w:tc>
              <w:tc>
                <w:tcPr>
                  <w:tcW w:w="2212"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hint="eastAsia" w:ascii="Times New Roman" w:hAnsi="Times New Roman"/>
                      <w:b/>
                      <w:bCs/>
                      <w:color w:val="000000" w:themeColor="text1"/>
                      <w:kern w:val="0"/>
                      <w:sz w:val="20"/>
                      <w:szCs w:val="20"/>
                      <w14:textFill>
                        <w14:solidFill>
                          <w14:schemeClr w14:val="tx1"/>
                        </w14:solidFill>
                      </w14:textFill>
                    </w:rPr>
                    <w:t>成人</w:t>
                  </w:r>
                  <w:r>
                    <w:rPr>
                      <w:rFonts w:ascii="Times New Roman" w:hAnsi="Times New Roman"/>
                      <w:b/>
                      <w:bCs/>
                      <w:color w:val="000000" w:themeColor="text1"/>
                      <w:kern w:val="0"/>
                      <w:sz w:val="20"/>
                      <w:szCs w:val="20"/>
                      <w14:textFill>
                        <w14:solidFill>
                          <w14:schemeClr w14:val="tx1"/>
                        </w14:solidFill>
                      </w14:textFill>
                    </w:rPr>
                    <w:t>业余2.5年</w:t>
                  </w:r>
                </w:p>
              </w:tc>
              <w:tc>
                <w:tcPr>
                  <w:tcW w:w="2499"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专业层次</w:t>
                  </w:r>
                </w:p>
              </w:tc>
              <w:tc>
                <w:tcPr>
                  <w:tcW w:w="2255"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专科</w:t>
                  </w:r>
                  <w:r>
                    <w:rPr>
                      <w:rFonts w:hint="eastAsia" w:ascii="Times New Roman" w:hAnsi="Times New Roman"/>
                      <w:b/>
                      <w:bCs/>
                      <w:color w:val="000000" w:themeColor="text1"/>
                      <w:kern w:val="0"/>
                      <w:sz w:val="20"/>
                      <w:szCs w:val="20"/>
                      <w14:textFill>
                        <w14:solidFill>
                          <w14:schemeClr w14:val="tx1"/>
                        </w14:solidFill>
                      </w14:textFill>
                    </w:rPr>
                    <w:t>（高中起点）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1" w:hRule="atLeast"/>
                <w:jc w:val="center"/>
              </w:trPr>
              <w:tc>
                <w:tcPr>
                  <w:tcW w:w="1796"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毕业学分</w:t>
                  </w:r>
                </w:p>
              </w:tc>
              <w:tc>
                <w:tcPr>
                  <w:tcW w:w="2212" w:type="dxa"/>
                  <w:shd w:val="clear" w:color="auto" w:fill="FFFFFF"/>
                  <w:vAlign w:val="center"/>
                </w:tcPr>
                <w:p>
                  <w:pPr>
                    <w:widowControl/>
                    <w:jc w:val="center"/>
                    <w:textAlignment w:val="center"/>
                    <w:rPr>
                      <w:rFonts w:hint="default" w:ascii="Times New Roman" w:hAnsi="Times New Roman" w:eastAsia="宋体"/>
                      <w:b/>
                      <w:bCs/>
                      <w:color w:val="000000" w:themeColor="text1"/>
                      <w:sz w:val="20"/>
                      <w:szCs w:val="20"/>
                      <w:lang w:val="en-US" w:eastAsia="zh-CN"/>
                      <w14:textFill>
                        <w14:solidFill>
                          <w14:schemeClr w14:val="tx1"/>
                        </w14:solidFill>
                      </w14:textFill>
                    </w:rPr>
                  </w:pPr>
                  <w:r>
                    <w:rPr>
                      <w:rFonts w:hint="eastAsia" w:ascii="Times New Roman" w:hAnsi="Times New Roman"/>
                      <w:b/>
                      <w:bCs/>
                      <w:color w:val="000000" w:themeColor="text1"/>
                      <w:kern w:val="0"/>
                      <w:sz w:val="20"/>
                      <w:szCs w:val="20"/>
                      <w:lang w:val="en-US" w:eastAsia="zh-CN"/>
                      <w14:textFill>
                        <w14:solidFill>
                          <w14:schemeClr w14:val="tx1"/>
                        </w14:solidFill>
                      </w14:textFill>
                    </w:rPr>
                    <w:t>90</w:t>
                  </w:r>
                </w:p>
              </w:tc>
              <w:tc>
                <w:tcPr>
                  <w:tcW w:w="2499" w:type="dxa"/>
                  <w:shd w:val="clear" w:color="auto" w:fill="FFFFFF"/>
                  <w:vAlign w:val="center"/>
                </w:tcPr>
                <w:p>
                  <w:pPr>
                    <w:widowControl/>
                    <w:jc w:val="center"/>
                    <w:textAlignment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kern w:val="0"/>
                      <w:sz w:val="20"/>
                      <w:szCs w:val="20"/>
                      <w14:textFill>
                        <w14:solidFill>
                          <w14:schemeClr w14:val="tx1"/>
                        </w14:solidFill>
                      </w14:textFill>
                    </w:rPr>
                    <w:t>各模块最低毕业学分之和</w:t>
                  </w:r>
                </w:p>
              </w:tc>
              <w:tc>
                <w:tcPr>
                  <w:tcW w:w="2255" w:type="dxa"/>
                  <w:shd w:val="clear" w:color="auto" w:fill="FFFFFF"/>
                  <w:vAlign w:val="center"/>
                </w:tcPr>
                <w:p>
                  <w:pPr>
                    <w:widowControl/>
                    <w:jc w:val="center"/>
                    <w:textAlignment w:val="center"/>
                    <w:rPr>
                      <w:rFonts w:hint="default" w:ascii="Times New Roman" w:hAnsi="Times New Roman" w:eastAsia="宋体"/>
                      <w:b/>
                      <w:bCs/>
                      <w:color w:val="000000" w:themeColor="text1"/>
                      <w:sz w:val="20"/>
                      <w:szCs w:val="20"/>
                      <w:lang w:val="en-US" w:eastAsia="zh-CN"/>
                      <w14:textFill>
                        <w14:solidFill>
                          <w14:schemeClr w14:val="tx1"/>
                        </w14:solidFill>
                      </w14:textFill>
                    </w:rPr>
                  </w:pPr>
                  <w:r>
                    <w:rPr>
                      <w:rFonts w:hint="eastAsia" w:ascii="Times New Roman" w:hAnsi="Times New Roman"/>
                      <w:b/>
                      <w:bCs/>
                      <w:color w:val="000000" w:themeColor="text1"/>
                      <w:kern w:val="0"/>
                      <w:sz w:val="20"/>
                      <w:szCs w:val="20"/>
                      <w:lang w:val="en-US" w:eastAsia="zh-CN"/>
                      <w14:textFill>
                        <w14:solidFill>
                          <w14:schemeClr w14:val="tx1"/>
                        </w14:solidFill>
                      </w14:textFill>
                    </w:rPr>
                    <w:t>75</w:t>
                  </w:r>
                </w:p>
              </w:tc>
            </w:tr>
          </w:tbl>
          <w:tbl>
            <w:tblPr>
              <w:tblStyle w:val="13"/>
              <w:tblpPr w:leftFromText="180" w:rightFromText="180" w:vertAnchor="text" w:horzAnchor="page" w:tblpX="1585" w:tblpY="12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33"/>
              <w:gridCol w:w="801"/>
              <w:gridCol w:w="210"/>
              <w:gridCol w:w="510"/>
              <w:gridCol w:w="2064"/>
              <w:gridCol w:w="210"/>
              <w:gridCol w:w="330"/>
              <w:gridCol w:w="364"/>
              <w:gridCol w:w="318"/>
              <w:gridCol w:w="210"/>
              <w:gridCol w:w="250"/>
              <w:gridCol w:w="250"/>
              <w:gridCol w:w="235"/>
              <w:gridCol w:w="250"/>
              <w:gridCol w:w="250"/>
              <w:gridCol w:w="220"/>
              <w:gridCol w:w="300"/>
              <w:gridCol w:w="300"/>
              <w:gridCol w:w="463"/>
              <w:gridCol w:w="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课</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类别</w:t>
                  </w:r>
                </w:p>
              </w:tc>
              <w:tc>
                <w:tcPr>
                  <w:tcW w:w="0" w:type="auto"/>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模块最低毕业学分</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序</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号</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课程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代码</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课 程 名 称</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分</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总</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时</w:t>
                  </w:r>
                </w:p>
              </w:tc>
              <w:tc>
                <w:tcPr>
                  <w:tcW w:w="0" w:type="auto"/>
                  <w:gridSpan w:val="8"/>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各学期学时分配</w:t>
                  </w:r>
                </w:p>
              </w:tc>
              <w:tc>
                <w:tcPr>
                  <w:tcW w:w="0" w:type="auto"/>
                  <w:gridSpan w:val="3"/>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考核</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方式</w:t>
                  </w:r>
                </w:p>
              </w:tc>
              <w:tc>
                <w:tcPr>
                  <w:tcW w:w="0" w:type="auto"/>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课程性质</w:t>
                  </w:r>
                </w:p>
              </w:tc>
              <w:tc>
                <w:tcPr>
                  <w:tcW w:w="0" w:type="auto"/>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考试单位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线</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lang w:val="en-US" w:eastAsia="zh-CN"/>
                    </w:rPr>
                    <w:t>上</w:t>
                  </w:r>
                  <w:r>
                    <w:rPr>
                      <w:rFonts w:hint="eastAsia" w:ascii="宋体" w:hAnsi="宋体"/>
                      <w:kern w:val="0"/>
                      <w:sz w:val="20"/>
                      <w:szCs w:val="20"/>
                    </w:rPr>
                    <w:t>教</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线</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lang w:val="en-US" w:eastAsia="zh-CN"/>
                    </w:rPr>
                    <w:t>下</w:t>
                  </w:r>
                  <w:r>
                    <w:rPr>
                      <w:rFonts w:hint="eastAsia" w:ascii="宋体" w:hAnsi="宋体"/>
                      <w:kern w:val="0"/>
                      <w:sz w:val="20"/>
                      <w:szCs w:val="20"/>
                    </w:rPr>
                    <w:t>教</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实</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验</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实</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训</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一</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二</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三</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四</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五</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过</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性</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考</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核</w:t>
                  </w:r>
                </w:p>
              </w:tc>
              <w:tc>
                <w:tcPr>
                  <w:tcW w:w="0" w:type="auto"/>
                  <w:gridSpan w:val="2"/>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终结性</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考核</w:t>
                  </w: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闭卷</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开卷</w:t>
                  </w: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restart"/>
                  <w:tcBorders>
                    <w:tl2br w:val="nil"/>
                    <w:tr2bl w:val="nil"/>
                  </w:tcBorders>
                  <w:vAlign w:val="center"/>
                </w:tcPr>
                <w:p>
                  <w:pPr>
                    <w:autoSpaceDE w:val="0"/>
                    <w:autoSpaceDN w:val="0"/>
                    <w:adjustRightInd w:val="0"/>
                    <w:jc w:val="center"/>
                    <w:rPr>
                      <w:rFonts w:hint="eastAsia" w:ascii="宋体" w:hAnsi="宋体"/>
                      <w:color w:val="FF0000"/>
                      <w:kern w:val="0"/>
                      <w:sz w:val="20"/>
                      <w:szCs w:val="20"/>
                      <w:lang w:eastAsia="zh-CN"/>
                    </w:rPr>
                  </w:pPr>
                  <w:r>
                    <w:rPr>
                      <w:rFonts w:hint="eastAsia" w:ascii="宋体" w:hAnsi="宋体"/>
                      <w:color w:val="FF0000"/>
                      <w:kern w:val="0"/>
                      <w:sz w:val="20"/>
                      <w:szCs w:val="20"/>
                      <w:lang w:val="en-US" w:eastAsia="zh-CN"/>
                    </w:rPr>
                    <w:t>思想政治理论课</w:t>
                  </w:r>
                </w:p>
              </w:tc>
              <w:tc>
                <w:tcPr>
                  <w:tcW w:w="0" w:type="auto"/>
                  <w:vMerge w:val="restart"/>
                  <w:tcBorders>
                    <w:tl2br w:val="nil"/>
                    <w:tr2bl w:val="nil"/>
                  </w:tcBorders>
                  <w:vAlign w:val="center"/>
                </w:tcPr>
                <w:p>
                  <w:pPr>
                    <w:autoSpaceDE w:val="0"/>
                    <w:autoSpaceDN w:val="0"/>
                    <w:adjustRightInd w:val="0"/>
                    <w:jc w:val="center"/>
                    <w:rPr>
                      <w:rFonts w:hint="default" w:ascii="宋体" w:hAnsi="宋体"/>
                      <w:color w:val="FF0000"/>
                      <w:kern w:val="0"/>
                      <w:sz w:val="20"/>
                      <w:szCs w:val="20"/>
                      <w:lang w:val="en-US" w:eastAsia="zh-CN"/>
                    </w:rPr>
                  </w:pPr>
                  <w:r>
                    <w:rPr>
                      <w:rFonts w:hint="eastAsia" w:ascii="宋体" w:hAnsi="宋体"/>
                      <w:color w:val="FF0000"/>
                      <w:kern w:val="0"/>
                      <w:sz w:val="20"/>
                      <w:szCs w:val="20"/>
                      <w:lang w:val="en-US" w:eastAsia="zh-CN"/>
                    </w:rPr>
                    <w:t>9</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highlight w:val="none"/>
                      <w14:textFill>
                        <w14:solidFill>
                          <w14:schemeClr w14:val="tx1"/>
                        </w14:solidFill>
                      </w14:textFill>
                    </w:rPr>
                    <w:t>1</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highlight w:val="none"/>
                      <w14:textFill>
                        <w14:solidFill>
                          <w14:schemeClr w14:val="tx1"/>
                        </w14:solidFill>
                      </w14:textFill>
                    </w:rPr>
                    <w:t>50005</w:t>
                  </w:r>
                </w:p>
              </w:tc>
              <w:tc>
                <w:tcPr>
                  <w:tcW w:w="0" w:type="auto"/>
                  <w:tcBorders>
                    <w:tl2br w:val="nil"/>
                    <w:tr2bl w:val="nil"/>
                  </w:tcBorders>
                  <w:vAlign w:val="center"/>
                </w:tcPr>
                <w:p>
                  <w:pPr>
                    <w:widowControl/>
                    <w:textAlignment w:val="center"/>
                    <w:rPr>
                      <w:rFonts w:hint="eastAsia" w:ascii="宋体" w:hAnsi="宋体"/>
                      <w:color w:val="FF0000"/>
                      <w:kern w:val="0"/>
                      <w:sz w:val="20"/>
                      <w:szCs w:val="20"/>
                    </w:rPr>
                  </w:pPr>
                  <w:r>
                    <w:rPr>
                      <w:rFonts w:ascii="Times New Roman" w:hAnsi="Times New Roman"/>
                      <w:color w:val="000000" w:themeColor="text1"/>
                      <w:kern w:val="0"/>
                      <w:sz w:val="20"/>
                      <w:szCs w:val="20"/>
                      <w:highlight w:val="none"/>
                      <w14:textFill>
                        <w14:solidFill>
                          <w14:schemeClr w14:val="tx1"/>
                        </w14:solidFill>
                      </w14:textFill>
                    </w:rPr>
                    <w:t>毛泽东思想和中国特色社会主义理论体系概论</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highlight w:val="none"/>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highlight w:val="none"/>
                      <w14:textFill>
                        <w14:solidFill>
                          <w14:schemeClr w14:val="tx1"/>
                        </w14:solidFill>
                      </w14:textFill>
                    </w:rPr>
                    <w:t>36</w:t>
                  </w:r>
                </w:p>
              </w:tc>
              <w:tc>
                <w:tcPr>
                  <w:tcW w:w="0" w:type="auto"/>
                  <w:tcBorders>
                    <w:tl2br w:val="nil"/>
                    <w:tr2bl w:val="nil"/>
                  </w:tcBorders>
                  <w:vAlign w:val="center"/>
                </w:tcPr>
                <w:p>
                  <w:pPr>
                    <w:jc w:val="center"/>
                    <w:rPr>
                      <w:rFonts w:hint="eastAsia" w:ascii="宋体" w:hAnsi="宋体"/>
                      <w:color w:val="FF0000"/>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eastAsia="宋体"/>
                      <w:kern w:val="0"/>
                      <w:sz w:val="20"/>
                      <w:szCs w:val="20"/>
                      <w:lang w:val="en-US" w:eastAsia="zh-CN"/>
                    </w:rPr>
                  </w:pP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color w:val="FF0000"/>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color w:val="FF0000"/>
                      <w:kern w:val="0"/>
                      <w:sz w:val="20"/>
                      <w:szCs w:val="20"/>
                    </w:rPr>
                  </w:pP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2</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50003</w:t>
                  </w:r>
                </w:p>
              </w:tc>
              <w:tc>
                <w:tcPr>
                  <w:tcW w:w="0" w:type="auto"/>
                  <w:tcBorders>
                    <w:tl2br w:val="nil"/>
                    <w:tr2bl w:val="nil"/>
                  </w:tcBorders>
                  <w:vAlign w:val="center"/>
                </w:tcPr>
                <w:p>
                  <w:pPr>
                    <w:widowControl/>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思想道德与法治</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18</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r>
                    <w:rPr>
                      <w:rFonts w:hint="eastAsia" w:ascii="Times New Roman" w:hAnsi="Times New Roman"/>
                      <w:color w:val="000000" w:themeColor="text1"/>
                      <w:kern w:val="0"/>
                      <w:sz w:val="20"/>
                      <w:szCs w:val="20"/>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color w:val="FF0000"/>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color w:val="FF0000"/>
                      <w:kern w:val="0"/>
                      <w:sz w:val="20"/>
                      <w:szCs w:val="20"/>
                    </w:rPr>
                  </w:pP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highlight w:val="none"/>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highlight w:val="none"/>
                      <w14:textFill>
                        <w14:solidFill>
                          <w14:schemeClr w14:val="tx1"/>
                        </w14:solidFill>
                      </w14:textFill>
                    </w:rPr>
                    <w:t>50001</w:t>
                  </w:r>
                </w:p>
              </w:tc>
              <w:tc>
                <w:tcPr>
                  <w:tcW w:w="0" w:type="auto"/>
                  <w:tcBorders>
                    <w:tl2br w:val="nil"/>
                    <w:tr2bl w:val="nil"/>
                  </w:tcBorders>
                  <w:vAlign w:val="center"/>
                </w:tcPr>
                <w:p>
                  <w:pPr>
                    <w:widowControl/>
                    <w:textAlignment w:val="center"/>
                    <w:rPr>
                      <w:rFonts w:hint="eastAsia" w:ascii="宋体" w:hAnsi="宋体"/>
                      <w:color w:val="FF0000"/>
                      <w:kern w:val="0"/>
                      <w:sz w:val="20"/>
                      <w:szCs w:val="20"/>
                    </w:rPr>
                  </w:pPr>
                  <w:r>
                    <w:rPr>
                      <w:rFonts w:ascii="Times New Roman" w:hAnsi="Times New Roman"/>
                      <w:color w:val="000000" w:themeColor="text1"/>
                      <w:kern w:val="0"/>
                      <w:sz w:val="20"/>
                      <w:szCs w:val="20"/>
                      <w:highlight w:val="none"/>
                      <w14:textFill>
                        <w14:solidFill>
                          <w14:schemeClr w14:val="tx1"/>
                        </w14:solidFill>
                      </w14:textFill>
                    </w:rPr>
                    <w:t>习近平新时代中国特色社会主义思想</w:t>
                  </w:r>
                  <w:r>
                    <w:rPr>
                      <w:rFonts w:hint="eastAsia" w:ascii="Times New Roman" w:hAnsi="Times New Roman"/>
                      <w:color w:val="000000" w:themeColor="text1"/>
                      <w:kern w:val="0"/>
                      <w:sz w:val="20"/>
                      <w:szCs w:val="20"/>
                      <w:highlight w:val="none"/>
                      <w:lang w:val="en-US" w:eastAsia="zh-CN"/>
                      <w14:textFill>
                        <w14:solidFill>
                          <w14:schemeClr w14:val="tx1"/>
                        </w14:solidFill>
                      </w14:textFill>
                    </w:rPr>
                    <w:t>概论</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highlight w:val="none"/>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highlight w:val="none"/>
                      <w14:textFill>
                        <w14:solidFill>
                          <w14:schemeClr w14:val="tx1"/>
                        </w14:solidFill>
                      </w14:textFill>
                    </w:rPr>
                    <w:t>54</w:t>
                  </w:r>
                </w:p>
              </w:tc>
              <w:tc>
                <w:tcPr>
                  <w:tcW w:w="0" w:type="auto"/>
                  <w:tcBorders>
                    <w:tl2br w:val="nil"/>
                    <w:tr2bl w:val="nil"/>
                  </w:tcBorders>
                  <w:vAlign w:val="center"/>
                </w:tcPr>
                <w:p>
                  <w:pPr>
                    <w:jc w:val="center"/>
                    <w:rPr>
                      <w:rFonts w:hint="eastAsia" w:ascii="宋体" w:hAnsi="宋体"/>
                      <w:color w:val="FF0000"/>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color w:val="FF0000"/>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color w:val="FF0000"/>
                      <w:kern w:val="0"/>
                      <w:sz w:val="20"/>
                      <w:szCs w:val="20"/>
                    </w:rPr>
                  </w:pP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4</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50006</w:t>
                  </w:r>
                </w:p>
              </w:tc>
              <w:tc>
                <w:tcPr>
                  <w:tcW w:w="0" w:type="auto"/>
                  <w:tcBorders>
                    <w:tl2br w:val="nil"/>
                    <w:tr2bl w:val="nil"/>
                  </w:tcBorders>
                  <w:vAlign w:val="center"/>
                </w:tcPr>
                <w:p>
                  <w:pPr>
                    <w:widowControl/>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形势与政策</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1</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18</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18</w:t>
                  </w:r>
                </w:p>
              </w:tc>
              <w:tc>
                <w:tcPr>
                  <w:tcW w:w="0" w:type="auto"/>
                  <w:tcBorders>
                    <w:tl2br w:val="nil"/>
                    <w:tr2bl w:val="nil"/>
                  </w:tcBorders>
                  <w:vAlign w:val="center"/>
                </w:tcPr>
                <w:p>
                  <w:pPr>
                    <w:jc w:val="center"/>
                    <w:rPr>
                      <w:rFonts w:hint="eastAsia" w:ascii="宋体" w:hAnsi="宋体"/>
                      <w:color w:val="FF0000"/>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eastAsia="宋体"/>
                      <w:kern w:val="0"/>
                      <w:sz w:val="20"/>
                      <w:szCs w:val="20"/>
                      <w:lang w:val="en-US" w:eastAsia="zh-CN"/>
                    </w:rPr>
                  </w:pPr>
                  <w:r>
                    <w:rPr>
                      <w:rFonts w:hint="eastAsia" w:ascii="宋体" w:hAnsi="宋体"/>
                      <w:kern w:val="0"/>
                      <w:sz w:val="20"/>
                      <w:szCs w:val="20"/>
                      <w:lang w:val="en-US" w:eastAsia="zh-CN"/>
                    </w:rPr>
                    <w:t>4</w:t>
                  </w:r>
                </w:p>
              </w:tc>
              <w:tc>
                <w:tcPr>
                  <w:tcW w:w="0" w:type="auto"/>
                  <w:tcBorders>
                    <w:tl2br w:val="nil"/>
                    <w:tr2bl w:val="nil"/>
                  </w:tcBorders>
                  <w:vAlign w:val="center"/>
                </w:tcPr>
                <w:p>
                  <w:pPr>
                    <w:widowControl/>
                    <w:jc w:val="center"/>
                    <w:textAlignment w:val="center"/>
                    <w:rPr>
                      <w:rFonts w:hint="eastAsia" w:ascii="宋体" w:hAnsi="宋体" w:eastAsia="宋体"/>
                      <w:kern w:val="0"/>
                      <w:sz w:val="20"/>
                      <w:szCs w:val="20"/>
                      <w:lang w:val="en-US" w:eastAsia="zh-CN"/>
                    </w:rPr>
                  </w:pPr>
                  <w:r>
                    <w:rPr>
                      <w:rFonts w:hint="eastAsia" w:ascii="宋体" w:hAnsi="宋体"/>
                      <w:kern w:val="0"/>
                      <w:sz w:val="20"/>
                      <w:szCs w:val="20"/>
                      <w:lang w:val="en-US" w:eastAsia="zh-CN"/>
                    </w:rPr>
                    <w:t>4</w:t>
                  </w:r>
                </w:p>
              </w:tc>
              <w:tc>
                <w:tcPr>
                  <w:tcW w:w="0" w:type="auto"/>
                  <w:tcBorders>
                    <w:tl2br w:val="nil"/>
                    <w:tr2bl w:val="nil"/>
                  </w:tcBorders>
                  <w:vAlign w:val="center"/>
                </w:tcPr>
                <w:p>
                  <w:pPr>
                    <w:widowControl/>
                    <w:jc w:val="center"/>
                    <w:textAlignment w:val="center"/>
                    <w:rPr>
                      <w:rFonts w:hint="eastAsia" w:ascii="宋体" w:hAnsi="宋体" w:eastAsia="宋体"/>
                      <w:kern w:val="0"/>
                      <w:sz w:val="20"/>
                      <w:szCs w:val="20"/>
                      <w:lang w:val="en-US" w:eastAsia="zh-CN"/>
                    </w:rPr>
                  </w:pPr>
                  <w:r>
                    <w:rPr>
                      <w:rFonts w:hint="eastAsia" w:ascii="宋体" w:hAnsi="宋体"/>
                      <w:kern w:val="0"/>
                      <w:sz w:val="20"/>
                      <w:szCs w:val="20"/>
                      <w:lang w:val="en-US" w:eastAsia="zh-CN"/>
                    </w:rPr>
                    <w:t>4</w:t>
                  </w:r>
                </w:p>
              </w:tc>
              <w:tc>
                <w:tcPr>
                  <w:tcW w:w="0" w:type="auto"/>
                  <w:tcBorders>
                    <w:tl2br w:val="nil"/>
                    <w:tr2bl w:val="nil"/>
                  </w:tcBorders>
                  <w:vAlign w:val="center"/>
                </w:tcPr>
                <w:p>
                  <w:pPr>
                    <w:widowControl/>
                    <w:jc w:val="center"/>
                    <w:textAlignment w:val="center"/>
                    <w:rPr>
                      <w:rFonts w:hint="eastAsia" w:ascii="宋体" w:hAnsi="宋体" w:eastAsia="宋体"/>
                      <w:kern w:val="0"/>
                      <w:sz w:val="20"/>
                      <w:szCs w:val="20"/>
                      <w:lang w:val="en-US" w:eastAsia="zh-CN"/>
                    </w:rPr>
                  </w:pPr>
                  <w:r>
                    <w:rPr>
                      <w:rFonts w:hint="eastAsia" w:ascii="宋体" w:hAnsi="宋体"/>
                      <w:kern w:val="0"/>
                      <w:sz w:val="20"/>
                      <w:szCs w:val="20"/>
                      <w:lang w:val="en-US" w:eastAsia="zh-CN"/>
                    </w:rPr>
                    <w:t>4</w:t>
                  </w:r>
                </w:p>
              </w:tc>
              <w:tc>
                <w:tcPr>
                  <w:tcW w:w="0" w:type="auto"/>
                  <w:tcBorders>
                    <w:tl2br w:val="nil"/>
                    <w:tr2bl w:val="nil"/>
                  </w:tcBorders>
                  <w:vAlign w:val="center"/>
                </w:tcPr>
                <w:p>
                  <w:pPr>
                    <w:widowControl/>
                    <w:jc w:val="center"/>
                    <w:textAlignment w:val="center"/>
                    <w:rPr>
                      <w:rFonts w:hint="eastAsia" w:ascii="宋体" w:hAnsi="宋体" w:eastAsia="宋体"/>
                      <w:kern w:val="0"/>
                      <w:sz w:val="20"/>
                      <w:szCs w:val="20"/>
                      <w:lang w:val="en-US" w:eastAsia="zh-CN"/>
                    </w:rPr>
                  </w:pPr>
                  <w:r>
                    <w:rPr>
                      <w:rFonts w:hint="eastAsia" w:ascii="宋体" w:hAnsi="宋体"/>
                      <w:kern w:val="0"/>
                      <w:sz w:val="20"/>
                      <w:szCs w:val="20"/>
                      <w:lang w:val="en-US" w:eastAsia="zh-CN"/>
                    </w:rPr>
                    <w:t>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color w:val="FF0000"/>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color w:val="FF0000"/>
                      <w:kern w:val="0"/>
                      <w:sz w:val="20"/>
                      <w:szCs w:val="20"/>
                    </w:rPr>
                  </w:pP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5</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50007</w:t>
                  </w:r>
                </w:p>
              </w:tc>
              <w:tc>
                <w:tcPr>
                  <w:tcW w:w="0" w:type="auto"/>
                  <w:tcBorders>
                    <w:tl2br w:val="nil"/>
                    <w:tr2bl w:val="nil"/>
                  </w:tcBorders>
                  <w:vAlign w:val="center"/>
                </w:tcPr>
                <w:p>
                  <w:pPr>
                    <w:widowControl/>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中国传统文化导论</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color w:val="FF0000"/>
                      <w:kern w:val="0"/>
                      <w:sz w:val="20"/>
                      <w:szCs w:val="20"/>
                    </w:rPr>
                  </w:pPr>
                  <w:r>
                    <w:rPr>
                      <w:rFonts w:ascii="Times New Roman" w:hAnsi="Times New Roman"/>
                      <w:color w:val="000000" w:themeColor="text1"/>
                      <w:kern w:val="0"/>
                      <w:sz w:val="20"/>
                      <w:szCs w:val="20"/>
                      <w14:textFill>
                        <w14:solidFill>
                          <w14:schemeClr w14:val="tx1"/>
                        </w14:solidFill>
                      </w14:textFill>
                    </w:rPr>
                    <w:t>54</w:t>
                  </w:r>
                </w:p>
              </w:tc>
              <w:tc>
                <w:tcPr>
                  <w:tcW w:w="0" w:type="auto"/>
                  <w:tcBorders>
                    <w:tl2br w:val="nil"/>
                    <w:tr2bl w:val="nil"/>
                  </w:tcBorders>
                  <w:vAlign w:val="center"/>
                </w:tcPr>
                <w:p>
                  <w:pPr>
                    <w:jc w:val="center"/>
                    <w:rPr>
                      <w:rFonts w:hint="eastAsia" w:ascii="宋体" w:hAnsi="宋体"/>
                      <w:color w:val="FF0000"/>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b w:val="0"/>
                      <w:bCs w:val="0"/>
                      <w:color w:val="000000" w:themeColor="text1"/>
                      <w:kern w:val="0"/>
                      <w:sz w:val="20"/>
                      <w:szCs w:val="20"/>
                      <w14:textFill>
                        <w14:solidFill>
                          <w14:schemeClr w14:val="tx1"/>
                        </w14:solidFill>
                      </w14:textFill>
                    </w:rPr>
                    <w:t>自建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lang w:eastAsia="zh-CN"/>
                    </w:rPr>
                  </w:pPr>
                  <w:r>
                    <w:rPr>
                      <w:rFonts w:hint="eastAsia" w:ascii="宋体" w:hAnsi="宋体"/>
                      <w:kern w:val="0"/>
                      <w:sz w:val="20"/>
                      <w:szCs w:val="20"/>
                      <w:lang w:val="en-US" w:eastAsia="zh-CN"/>
                    </w:rPr>
                    <w:t>公共基础课</w:t>
                  </w:r>
                </w:p>
              </w:tc>
              <w:tc>
                <w:tcPr>
                  <w:tcW w:w="0" w:type="auto"/>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kern w:val="0"/>
                      <w:sz w:val="20"/>
                      <w:szCs w:val="20"/>
                      <w:lang w:val="en-US" w:eastAsia="zh-CN"/>
                    </w:rPr>
                    <w:t>8</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60001</w:t>
                  </w:r>
                </w:p>
              </w:tc>
              <w:tc>
                <w:tcPr>
                  <w:tcW w:w="0" w:type="auto"/>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入学教育</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1</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18</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18</w:t>
                  </w:r>
                </w:p>
              </w:tc>
              <w:tc>
                <w:tcPr>
                  <w:tcW w:w="0" w:type="auto"/>
                  <w:tcBorders>
                    <w:tl2br w:val="nil"/>
                    <w:tr2bl w:val="nil"/>
                  </w:tcBorders>
                  <w:vAlign w:val="center"/>
                </w:tcPr>
                <w:p>
                  <w:pPr>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lang w:val="en-US" w:eastAsia="zh-CN"/>
                      <w14:textFill>
                        <w14:solidFill>
                          <w14:schemeClr w14:val="tx1"/>
                        </w14:solidFill>
                      </w14:textFill>
                    </w:rPr>
                    <w:t>18</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7</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60003</w:t>
                  </w:r>
                </w:p>
              </w:tc>
              <w:tc>
                <w:tcPr>
                  <w:tcW w:w="0" w:type="auto"/>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计算机应用基础</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72</w:t>
                  </w:r>
                </w:p>
              </w:tc>
              <w:tc>
                <w:tcPr>
                  <w:tcW w:w="0" w:type="auto"/>
                  <w:tcBorders>
                    <w:tl2br w:val="nil"/>
                    <w:tr2bl w:val="nil"/>
                  </w:tcBorders>
                  <w:vAlign w:val="center"/>
                </w:tcPr>
                <w:p>
                  <w:pPr>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8</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60004</w:t>
                  </w:r>
                </w:p>
              </w:tc>
              <w:tc>
                <w:tcPr>
                  <w:tcW w:w="0" w:type="auto"/>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大学英语（</w:t>
                  </w:r>
                  <w:r>
                    <w:rPr>
                      <w:rStyle w:val="22"/>
                      <w:color w:val="000000" w:themeColor="text1"/>
                      <w14:textFill>
                        <w14:solidFill>
                          <w14:schemeClr w14:val="tx1"/>
                        </w14:solidFill>
                      </w14:textFill>
                    </w:rPr>
                    <w:t>1</w:t>
                  </w:r>
                  <w:r>
                    <w:rPr>
                      <w:rFonts w:ascii="Times New Roman" w:hAnsi="Times New Roman"/>
                      <w:color w:val="000000" w:themeColor="text1"/>
                      <w:kern w:val="0"/>
                      <w:sz w:val="20"/>
                      <w:szCs w:val="20"/>
                      <w14:textFill>
                        <w14:solidFill>
                          <w14:schemeClr w14:val="tx1"/>
                        </w14:solidFill>
                      </w14:textFill>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54</w:t>
                  </w:r>
                </w:p>
              </w:tc>
              <w:tc>
                <w:tcPr>
                  <w:tcW w:w="0" w:type="auto"/>
                  <w:tcBorders>
                    <w:tl2br w:val="nil"/>
                    <w:tr2bl w:val="nil"/>
                  </w:tcBorders>
                  <w:vAlign w:val="center"/>
                </w:tcPr>
                <w:p>
                  <w:pPr>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9</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60005</w:t>
                  </w:r>
                </w:p>
              </w:tc>
              <w:tc>
                <w:tcPr>
                  <w:tcW w:w="0" w:type="auto"/>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大学英语（</w:t>
                  </w:r>
                  <w:r>
                    <w:rPr>
                      <w:rStyle w:val="22"/>
                      <w:color w:val="000000" w:themeColor="text1"/>
                      <w14:textFill>
                        <w14:solidFill>
                          <w14:schemeClr w14:val="tx1"/>
                        </w14:solidFill>
                      </w14:textFill>
                    </w:rPr>
                    <w:t>2</w:t>
                  </w:r>
                  <w:r>
                    <w:rPr>
                      <w:rFonts w:ascii="Times New Roman" w:hAnsi="Times New Roman"/>
                      <w:color w:val="000000" w:themeColor="text1"/>
                      <w:kern w:val="0"/>
                      <w:sz w:val="20"/>
                      <w:szCs w:val="20"/>
                      <w14:textFill>
                        <w14:solidFill>
                          <w14:schemeClr w14:val="tx1"/>
                        </w14:solidFill>
                      </w14:textFill>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54</w:t>
                  </w:r>
                </w:p>
              </w:tc>
              <w:tc>
                <w:tcPr>
                  <w:tcW w:w="0" w:type="auto"/>
                  <w:tcBorders>
                    <w:tl2br w:val="nil"/>
                    <w:tr2bl w:val="nil"/>
                  </w:tcBorders>
                  <w:vAlign w:val="center"/>
                </w:tcPr>
                <w:p>
                  <w:pPr>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lang w:val="en-US" w:eastAsia="zh-CN"/>
                    </w:rPr>
                    <w:t>专业基础课</w:t>
                  </w:r>
                </w:p>
              </w:tc>
              <w:tc>
                <w:tcPr>
                  <w:tcW w:w="0" w:type="auto"/>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15</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10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17001</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无机化学</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18</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eastAsia="Arial" w:cs="Arial"/>
                      <w:snapToGrid w:val="0"/>
                      <w:color w:val="000000"/>
                      <w:kern w:val="0"/>
                      <w:sz w:val="20"/>
                      <w:szCs w:val="20"/>
                      <w:lang w:val="en-US" w:eastAsia="zh-CN"/>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ascii="Times New Roman" w:hAnsi="Times New Roman"/>
                      <w:color w:val="000000" w:themeColor="text1"/>
                      <w:kern w:val="0"/>
                      <w:sz w:val="20"/>
                      <w:szCs w:val="20"/>
                      <w:highlight w:val="none"/>
                      <w14:textFill>
                        <w14:solidFill>
                          <w14:schemeClr w14:val="tx1"/>
                        </w14:solidFill>
                      </w14:textFill>
                    </w:rPr>
                    <w:t>11</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napToGrid w:val="0"/>
                      <w:color w:val="000000"/>
                      <w:kern w:val="0"/>
                      <w:sz w:val="20"/>
                      <w:szCs w:val="20"/>
                      <w:lang w:val="en-US" w:eastAsia="zh-CN" w:bidi="ar"/>
                    </w:rPr>
                  </w:pPr>
                  <w:r>
                    <w:rPr>
                      <w:rFonts w:hint="eastAsia" w:ascii="Times New Roman" w:hAnsi="Times New Roman" w:cs="Times New Roman"/>
                      <w:snapToGrid w:val="0"/>
                      <w:color w:val="000000"/>
                      <w:kern w:val="0"/>
                      <w:sz w:val="20"/>
                      <w:szCs w:val="20"/>
                      <w:lang w:val="en-US" w:eastAsia="zh-CN" w:bidi="ar"/>
                    </w:rPr>
                    <w:t>17002</w:t>
                  </w:r>
                </w:p>
              </w:tc>
              <w:tc>
                <w:tcPr>
                  <w:tcW w:w="0" w:type="auto"/>
                  <w:tcBorders>
                    <w:tl2br w:val="nil"/>
                    <w:tr2bl w:val="nil"/>
                  </w:tcBorders>
                  <w:vAlign w:val="center"/>
                </w:tcPr>
                <w:p>
                  <w:pPr>
                    <w:widowControl/>
                    <w:jc w:val="left"/>
                    <w:textAlignment w:val="center"/>
                    <w:rPr>
                      <w:rFonts w:hint="eastAsia" w:ascii="宋体" w:hAnsi="宋体" w:eastAsia="宋体" w:cs="宋体"/>
                      <w:snapToGrid w:val="0"/>
                      <w:color w:val="000000"/>
                      <w:kern w:val="0"/>
                      <w:sz w:val="21"/>
                      <w:szCs w:val="24"/>
                      <w:lang w:val="en-US" w:eastAsia="zh-CN" w:bidi="ar"/>
                    </w:rPr>
                  </w:pPr>
                  <w:r>
                    <w:rPr>
                      <w:rFonts w:ascii="Times New Roman" w:hAnsi="Times New Roman"/>
                      <w:color w:val="000000" w:themeColor="text1"/>
                      <w:kern w:val="0"/>
                      <w:sz w:val="20"/>
                      <w:szCs w:val="20"/>
                      <w:highlight w:val="none"/>
                      <w14:textFill>
                        <w14:solidFill>
                          <w14:schemeClr w14:val="tx1"/>
                        </w14:solidFill>
                      </w14:textFill>
                    </w:rPr>
                    <w:t>有机化学</w:t>
                  </w:r>
                </w:p>
              </w:tc>
              <w:tc>
                <w:tcPr>
                  <w:tcW w:w="0" w:type="auto"/>
                  <w:tcBorders>
                    <w:tl2br w:val="nil"/>
                    <w:tr2bl w:val="nil"/>
                  </w:tcBorders>
                  <w:vAlign w:val="center"/>
                </w:tcPr>
                <w:p>
                  <w:pPr>
                    <w:widowControl/>
                    <w:jc w:val="center"/>
                    <w:textAlignment w:val="center"/>
                    <w:rPr>
                      <w:rFonts w:hint="eastAsia" w:ascii="仿宋" w:hAnsi="仿宋" w:eastAsia="仿宋" w:cs="仿宋"/>
                      <w:snapToGrid w:val="0"/>
                      <w:color w:val="000000"/>
                      <w:kern w:val="0"/>
                      <w:sz w:val="21"/>
                      <w:szCs w:val="24"/>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18</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ascii="Times New Roman" w:hAnsi="Times New Roman"/>
                      <w:color w:val="000000" w:themeColor="text1"/>
                      <w:kern w:val="0"/>
                      <w:sz w:val="20"/>
                      <w:szCs w:val="20"/>
                      <w:highlight w:val="none"/>
                      <w14:textFill>
                        <w14:solidFill>
                          <w14:schemeClr w14:val="tx1"/>
                        </w14:solidFill>
                      </w14:textFill>
                    </w:rPr>
                    <w:t>12</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napToGrid w:val="0"/>
                      <w:color w:val="000000"/>
                      <w:kern w:val="0"/>
                      <w:sz w:val="20"/>
                      <w:szCs w:val="20"/>
                      <w:lang w:val="en-US" w:eastAsia="zh-CN" w:bidi="ar"/>
                    </w:rPr>
                  </w:pPr>
                  <w:r>
                    <w:rPr>
                      <w:rFonts w:hint="eastAsia" w:ascii="Times New Roman" w:hAnsi="Times New Roman" w:cs="Times New Roman"/>
                      <w:snapToGrid w:val="0"/>
                      <w:color w:val="000000"/>
                      <w:kern w:val="0"/>
                      <w:sz w:val="20"/>
                      <w:szCs w:val="20"/>
                      <w:lang w:val="en-US" w:eastAsia="zh-CN" w:bidi="ar"/>
                    </w:rPr>
                    <w:t>17003</w:t>
                  </w:r>
                </w:p>
              </w:tc>
              <w:tc>
                <w:tcPr>
                  <w:tcW w:w="0" w:type="auto"/>
                  <w:tcBorders>
                    <w:tl2br w:val="nil"/>
                    <w:tr2bl w:val="nil"/>
                  </w:tcBorders>
                  <w:vAlign w:val="center"/>
                </w:tcPr>
                <w:p>
                  <w:pPr>
                    <w:widowControl/>
                    <w:jc w:val="left"/>
                    <w:textAlignment w:val="center"/>
                    <w:rPr>
                      <w:rFonts w:hint="eastAsia" w:ascii="宋体" w:hAnsi="宋体" w:eastAsia="宋体" w:cs="宋体"/>
                      <w:snapToGrid w:val="0"/>
                      <w:color w:val="000000"/>
                      <w:kern w:val="0"/>
                      <w:sz w:val="21"/>
                      <w:szCs w:val="24"/>
                      <w:lang w:val="en-US" w:eastAsia="zh-CN" w:bidi="ar"/>
                    </w:rPr>
                  </w:pPr>
                  <w:r>
                    <w:rPr>
                      <w:rFonts w:ascii="Times New Roman" w:hAnsi="Times New Roman"/>
                      <w:color w:val="000000" w:themeColor="text1"/>
                      <w:kern w:val="0"/>
                      <w:sz w:val="20"/>
                      <w:szCs w:val="20"/>
                      <w:highlight w:val="none"/>
                      <w14:textFill>
                        <w14:solidFill>
                          <w14:schemeClr w14:val="tx1"/>
                        </w14:solidFill>
                      </w14:textFill>
                    </w:rPr>
                    <w:t>化工安全防护及管理</w:t>
                  </w:r>
                </w:p>
              </w:tc>
              <w:tc>
                <w:tcPr>
                  <w:tcW w:w="0" w:type="auto"/>
                  <w:tcBorders>
                    <w:tl2br w:val="nil"/>
                    <w:tr2bl w:val="nil"/>
                  </w:tcBorders>
                  <w:vAlign w:val="center"/>
                </w:tcPr>
                <w:p>
                  <w:pPr>
                    <w:widowControl/>
                    <w:jc w:val="center"/>
                    <w:textAlignment w:val="center"/>
                    <w:rPr>
                      <w:rFonts w:hint="eastAsia" w:ascii="仿宋" w:hAnsi="仿宋" w:eastAsia="仿宋" w:cs="仿宋"/>
                      <w:snapToGrid w:val="0"/>
                      <w:color w:val="000000"/>
                      <w:kern w:val="0"/>
                      <w:sz w:val="21"/>
                      <w:szCs w:val="24"/>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18</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ascii="Times New Roman" w:hAnsi="Times New Roman"/>
                      <w:color w:val="000000" w:themeColor="text1"/>
                      <w:kern w:val="0"/>
                      <w:sz w:val="20"/>
                      <w:szCs w:val="20"/>
                      <w:highlight w:val="none"/>
                      <w14:textFill>
                        <w14:solidFill>
                          <w14:schemeClr w14:val="tx1"/>
                        </w14:solidFill>
                      </w14:textFill>
                    </w:rPr>
                    <w:t>13</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napToGrid w:val="0"/>
                      <w:color w:val="000000"/>
                      <w:kern w:val="0"/>
                      <w:sz w:val="20"/>
                      <w:szCs w:val="20"/>
                      <w:lang w:val="en-US" w:eastAsia="zh-CN" w:bidi="ar"/>
                    </w:rPr>
                  </w:pPr>
                  <w:r>
                    <w:rPr>
                      <w:rFonts w:hint="eastAsia" w:ascii="Times New Roman" w:hAnsi="Times New Roman" w:cs="Times New Roman"/>
                      <w:snapToGrid w:val="0"/>
                      <w:color w:val="000000"/>
                      <w:kern w:val="0"/>
                      <w:sz w:val="20"/>
                      <w:szCs w:val="20"/>
                      <w:lang w:val="en-US" w:eastAsia="zh-CN" w:bidi="ar"/>
                    </w:rPr>
                    <w:t>17004</w:t>
                  </w:r>
                </w:p>
              </w:tc>
              <w:tc>
                <w:tcPr>
                  <w:tcW w:w="0" w:type="auto"/>
                  <w:tcBorders>
                    <w:tl2br w:val="nil"/>
                    <w:tr2bl w:val="nil"/>
                  </w:tcBorders>
                  <w:vAlign w:val="center"/>
                </w:tcPr>
                <w:p>
                  <w:pPr>
                    <w:widowControl/>
                    <w:jc w:val="left"/>
                    <w:textAlignment w:val="center"/>
                    <w:rPr>
                      <w:rFonts w:hint="eastAsia" w:ascii="宋体" w:hAnsi="宋体" w:eastAsia="宋体" w:cs="宋体"/>
                      <w:snapToGrid w:val="0"/>
                      <w:color w:val="000000"/>
                      <w:kern w:val="0"/>
                      <w:sz w:val="21"/>
                      <w:szCs w:val="24"/>
                      <w:lang w:val="en-US" w:eastAsia="zh-CN" w:bidi="ar"/>
                    </w:rPr>
                  </w:pPr>
                  <w:r>
                    <w:rPr>
                      <w:rFonts w:ascii="Times New Roman" w:hAnsi="Times New Roman"/>
                      <w:color w:val="000000" w:themeColor="text1"/>
                      <w:kern w:val="0"/>
                      <w:sz w:val="20"/>
                      <w:szCs w:val="20"/>
                      <w:highlight w:val="none"/>
                      <w14:textFill>
                        <w14:solidFill>
                          <w14:schemeClr w14:val="tx1"/>
                        </w14:solidFill>
                      </w14:textFill>
                    </w:rPr>
                    <w:t>化工识图与绘图</w:t>
                  </w:r>
                </w:p>
              </w:tc>
              <w:tc>
                <w:tcPr>
                  <w:tcW w:w="0" w:type="auto"/>
                  <w:tcBorders>
                    <w:tl2br w:val="nil"/>
                    <w:tr2bl w:val="nil"/>
                  </w:tcBorders>
                  <w:vAlign w:val="center"/>
                </w:tcPr>
                <w:p>
                  <w:pPr>
                    <w:widowControl/>
                    <w:jc w:val="center"/>
                    <w:textAlignment w:val="center"/>
                    <w:rPr>
                      <w:rFonts w:hint="eastAsia" w:ascii="仿宋" w:hAnsi="仿宋" w:eastAsia="仿宋" w:cs="仿宋"/>
                      <w:snapToGrid w:val="0"/>
                      <w:color w:val="000000"/>
                      <w:kern w:val="0"/>
                      <w:sz w:val="21"/>
                      <w:szCs w:val="24"/>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18</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ascii="Times New Roman" w:hAnsi="Times New Roman"/>
                      <w:color w:val="000000" w:themeColor="text1"/>
                      <w:kern w:val="0"/>
                      <w:sz w:val="20"/>
                      <w:szCs w:val="20"/>
                      <w:highlight w:val="none"/>
                      <w14:textFill>
                        <w14:solidFill>
                          <w14:schemeClr w14:val="tx1"/>
                        </w14:solidFill>
                      </w14:textFill>
                    </w:rPr>
                    <w:t>14</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napToGrid w:val="0"/>
                      <w:color w:val="000000"/>
                      <w:kern w:val="0"/>
                      <w:sz w:val="20"/>
                      <w:szCs w:val="20"/>
                      <w:lang w:val="en-US" w:eastAsia="zh-CN" w:bidi="ar"/>
                    </w:rPr>
                  </w:pPr>
                  <w:r>
                    <w:rPr>
                      <w:rFonts w:hint="eastAsia" w:ascii="Times New Roman" w:hAnsi="Times New Roman" w:cs="Times New Roman"/>
                      <w:snapToGrid w:val="0"/>
                      <w:color w:val="000000"/>
                      <w:kern w:val="0"/>
                      <w:sz w:val="20"/>
                      <w:szCs w:val="20"/>
                      <w:lang w:val="en-US" w:eastAsia="zh-CN" w:bidi="ar"/>
                    </w:rPr>
                    <w:t>17005</w:t>
                  </w:r>
                </w:p>
              </w:tc>
              <w:tc>
                <w:tcPr>
                  <w:tcW w:w="0" w:type="auto"/>
                  <w:tcBorders>
                    <w:tl2br w:val="nil"/>
                    <w:tr2bl w:val="nil"/>
                  </w:tcBorders>
                  <w:vAlign w:val="center"/>
                </w:tcPr>
                <w:p>
                  <w:pPr>
                    <w:widowControl/>
                    <w:jc w:val="left"/>
                    <w:textAlignment w:val="center"/>
                    <w:rPr>
                      <w:rFonts w:hint="eastAsia" w:ascii="宋体" w:hAnsi="宋体" w:eastAsia="宋体" w:cs="宋体"/>
                      <w:snapToGrid w:val="0"/>
                      <w:color w:val="000000"/>
                      <w:kern w:val="0"/>
                      <w:sz w:val="21"/>
                      <w:szCs w:val="24"/>
                      <w:lang w:val="en-US" w:eastAsia="zh-CN" w:bidi="ar"/>
                    </w:rPr>
                  </w:pPr>
                  <w:r>
                    <w:rPr>
                      <w:rFonts w:ascii="Times New Roman" w:hAnsi="Times New Roman"/>
                      <w:color w:val="000000" w:themeColor="text1"/>
                      <w:kern w:val="0"/>
                      <w:sz w:val="20"/>
                      <w:szCs w:val="20"/>
                      <w:highlight w:val="none"/>
                      <w14:textFill>
                        <w14:solidFill>
                          <w14:schemeClr w14:val="tx1"/>
                        </w14:solidFill>
                      </w14:textFill>
                    </w:rPr>
                    <w:t>典型化工单元设备操作与控制</w:t>
                  </w:r>
                </w:p>
              </w:tc>
              <w:tc>
                <w:tcPr>
                  <w:tcW w:w="0" w:type="auto"/>
                  <w:tcBorders>
                    <w:tl2br w:val="nil"/>
                    <w:tr2bl w:val="nil"/>
                  </w:tcBorders>
                  <w:vAlign w:val="center"/>
                </w:tcPr>
                <w:p>
                  <w:pPr>
                    <w:widowControl/>
                    <w:jc w:val="center"/>
                    <w:textAlignment w:val="center"/>
                    <w:rPr>
                      <w:rFonts w:hint="eastAsia" w:ascii="仿宋" w:hAnsi="仿宋" w:eastAsia="仿宋" w:cs="仿宋"/>
                      <w:snapToGrid w:val="0"/>
                      <w:color w:val="000000"/>
                      <w:kern w:val="0"/>
                      <w:sz w:val="21"/>
                      <w:szCs w:val="24"/>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30</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24</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15</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17006</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化工环保概论</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eastAsia="Arial" w:cs="Arial"/>
                      <w:snapToGrid w:val="0"/>
                      <w:color w:val="000000"/>
                      <w:kern w:val="0"/>
                      <w:sz w:val="20"/>
                      <w:szCs w:val="20"/>
                      <w:lang w:val="en-US" w:eastAsia="zh-CN"/>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16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17007</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煤化学</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17</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17008</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化工分离技术</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专业课</w:t>
                  </w:r>
                </w:p>
              </w:tc>
              <w:tc>
                <w:tcPr>
                  <w:tcW w:w="0" w:type="auto"/>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27</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18</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17009</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化工安全技术</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48</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19</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17010</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化工设备使用与维护</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48</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20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17011</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化学反应过程及设备</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48</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21</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17012</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典型化工产品生产技术</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48</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ascii="Times New Roman" w:hAnsi="Times New Roman"/>
                      <w:color w:val="000000" w:themeColor="text1"/>
                      <w:kern w:val="0"/>
                      <w:sz w:val="20"/>
                      <w:szCs w:val="20"/>
                      <w:highlight w:val="none"/>
                      <w14:textFill>
                        <w14:solidFill>
                          <w14:schemeClr w14:val="tx1"/>
                        </w14:solidFill>
                      </w14:textFill>
                    </w:rPr>
                    <w:t>22</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napToGrid w:val="0"/>
                      <w:color w:val="000000"/>
                      <w:kern w:val="0"/>
                      <w:sz w:val="20"/>
                      <w:szCs w:val="20"/>
                      <w:lang w:val="en-US" w:eastAsia="zh-CN" w:bidi="ar"/>
                    </w:rPr>
                  </w:pPr>
                  <w:r>
                    <w:rPr>
                      <w:rFonts w:hint="eastAsia" w:ascii="Times New Roman" w:hAnsi="Times New Roman" w:cs="Times New Roman"/>
                      <w:snapToGrid w:val="0"/>
                      <w:color w:val="000000"/>
                      <w:kern w:val="0"/>
                      <w:sz w:val="20"/>
                      <w:szCs w:val="20"/>
                      <w:lang w:val="en-US" w:eastAsia="zh-CN" w:bidi="ar"/>
                    </w:rPr>
                    <w:t>17013</w:t>
                  </w:r>
                </w:p>
              </w:tc>
              <w:tc>
                <w:tcPr>
                  <w:tcW w:w="0" w:type="auto"/>
                  <w:tcBorders>
                    <w:tl2br w:val="nil"/>
                    <w:tr2bl w:val="nil"/>
                  </w:tcBorders>
                  <w:vAlign w:val="center"/>
                </w:tcPr>
                <w:p>
                  <w:pPr>
                    <w:widowControl/>
                    <w:jc w:val="left"/>
                    <w:textAlignment w:val="center"/>
                    <w:rPr>
                      <w:rFonts w:hint="eastAsia" w:ascii="宋体" w:hAnsi="宋体" w:eastAsia="宋体" w:cs="宋体"/>
                      <w:snapToGrid w:val="0"/>
                      <w:color w:val="000000"/>
                      <w:kern w:val="0"/>
                      <w:sz w:val="21"/>
                      <w:szCs w:val="24"/>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化工产品分析检测</w:t>
                  </w:r>
                </w:p>
              </w:tc>
              <w:tc>
                <w:tcPr>
                  <w:tcW w:w="0" w:type="auto"/>
                  <w:tcBorders>
                    <w:tl2br w:val="nil"/>
                    <w:tr2bl w:val="nil"/>
                  </w:tcBorders>
                  <w:vAlign w:val="center"/>
                </w:tcPr>
                <w:p>
                  <w:pPr>
                    <w:widowControl/>
                    <w:jc w:val="center"/>
                    <w:textAlignment w:val="center"/>
                    <w:rPr>
                      <w:rFonts w:hint="eastAsia" w:ascii="仿宋" w:hAnsi="仿宋" w:eastAsia="仿宋" w:cs="仿宋"/>
                      <w:snapToGrid w:val="0"/>
                      <w:color w:val="000000"/>
                      <w:kern w:val="0"/>
                      <w:sz w:val="21"/>
                      <w:szCs w:val="24"/>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4</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48</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24</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ascii="Times New Roman" w:hAnsi="Times New Roman"/>
                      <w:color w:val="000000" w:themeColor="text1"/>
                      <w:kern w:val="0"/>
                      <w:sz w:val="20"/>
                      <w:szCs w:val="20"/>
                      <w14:textFill>
                        <w14:solidFill>
                          <w14:schemeClr w14:val="tx1"/>
                        </w14:solidFill>
                      </w14:textFill>
                    </w:rPr>
                    <w:t>23</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napToGrid w:val="0"/>
                      <w:color w:val="000000"/>
                      <w:kern w:val="0"/>
                      <w:sz w:val="20"/>
                      <w:szCs w:val="20"/>
                      <w:lang w:val="en-US" w:eastAsia="zh-CN" w:bidi="ar"/>
                    </w:rPr>
                  </w:pPr>
                  <w:r>
                    <w:rPr>
                      <w:rFonts w:hint="eastAsia" w:ascii="Times New Roman" w:hAnsi="Times New Roman" w:cs="Times New Roman"/>
                      <w:snapToGrid w:val="0"/>
                      <w:color w:val="000000"/>
                      <w:kern w:val="0"/>
                      <w:sz w:val="20"/>
                      <w:szCs w:val="20"/>
                      <w:lang w:val="en-US" w:eastAsia="zh-CN" w:bidi="ar"/>
                    </w:rPr>
                    <w:t>17014</w:t>
                  </w:r>
                </w:p>
              </w:tc>
              <w:tc>
                <w:tcPr>
                  <w:tcW w:w="0" w:type="auto"/>
                  <w:tcBorders>
                    <w:tl2br w:val="nil"/>
                    <w:tr2bl w:val="nil"/>
                  </w:tcBorders>
                  <w:vAlign w:val="center"/>
                </w:tcPr>
                <w:p>
                  <w:pPr>
                    <w:widowControl/>
                    <w:jc w:val="left"/>
                    <w:textAlignment w:val="center"/>
                    <w:rPr>
                      <w:rFonts w:hint="eastAsia" w:ascii="宋体" w:hAnsi="宋体" w:eastAsia="宋体" w:cs="宋体"/>
                      <w:snapToGrid w:val="0"/>
                      <w:color w:val="000000"/>
                      <w:kern w:val="0"/>
                      <w:sz w:val="21"/>
                      <w:szCs w:val="24"/>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 xml:space="preserve">化工智能控制技术 </w:t>
                  </w:r>
                </w:p>
              </w:tc>
              <w:tc>
                <w:tcPr>
                  <w:tcW w:w="0" w:type="auto"/>
                  <w:tcBorders>
                    <w:tl2br w:val="nil"/>
                    <w:tr2bl w:val="nil"/>
                  </w:tcBorders>
                  <w:vAlign w:val="center"/>
                </w:tcPr>
                <w:p>
                  <w:pPr>
                    <w:widowControl/>
                    <w:jc w:val="center"/>
                    <w:textAlignment w:val="center"/>
                    <w:rPr>
                      <w:rFonts w:hint="eastAsia" w:ascii="仿宋" w:hAnsi="仿宋" w:eastAsia="仿宋" w:cs="仿宋"/>
                      <w:snapToGrid w:val="0"/>
                      <w:color w:val="000000"/>
                      <w:kern w:val="0"/>
                      <w:sz w:val="21"/>
                      <w:szCs w:val="24"/>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4</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48</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24</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ascii="Times New Roman" w:hAnsi="Times New Roman"/>
                      <w:color w:val="000000" w:themeColor="text1"/>
                      <w:kern w:val="0"/>
                      <w:sz w:val="20"/>
                      <w:szCs w:val="20"/>
                      <w14:textFill>
                        <w14:solidFill>
                          <w14:schemeClr w14:val="tx1"/>
                        </w14:solidFill>
                      </w14:textFill>
                    </w:rPr>
                    <w:t>24</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napToGrid w:val="0"/>
                      <w:color w:val="000000"/>
                      <w:kern w:val="0"/>
                      <w:sz w:val="20"/>
                      <w:szCs w:val="20"/>
                      <w:lang w:val="en-US" w:eastAsia="zh-CN" w:bidi="ar"/>
                    </w:rPr>
                  </w:pPr>
                  <w:r>
                    <w:rPr>
                      <w:rFonts w:hint="eastAsia" w:ascii="Times New Roman" w:hAnsi="Times New Roman" w:cs="Times New Roman"/>
                      <w:snapToGrid w:val="0"/>
                      <w:color w:val="000000"/>
                      <w:kern w:val="0"/>
                      <w:sz w:val="20"/>
                      <w:szCs w:val="20"/>
                      <w:lang w:val="en-US" w:eastAsia="zh-CN" w:bidi="ar"/>
                    </w:rPr>
                    <w:t>17015</w:t>
                  </w:r>
                </w:p>
              </w:tc>
              <w:tc>
                <w:tcPr>
                  <w:tcW w:w="0" w:type="auto"/>
                  <w:tcBorders>
                    <w:tl2br w:val="nil"/>
                    <w:tr2bl w:val="nil"/>
                  </w:tcBorders>
                  <w:vAlign w:val="center"/>
                </w:tcPr>
                <w:p>
                  <w:pPr>
                    <w:widowControl/>
                    <w:jc w:val="left"/>
                    <w:textAlignment w:val="center"/>
                    <w:rPr>
                      <w:rFonts w:hint="eastAsia" w:ascii="宋体" w:hAnsi="宋体" w:eastAsia="宋体" w:cs="宋体"/>
                      <w:snapToGrid w:val="0"/>
                      <w:color w:val="000000"/>
                      <w:kern w:val="0"/>
                      <w:sz w:val="21"/>
                      <w:szCs w:val="24"/>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专业英语</w:t>
                  </w:r>
                </w:p>
              </w:tc>
              <w:tc>
                <w:tcPr>
                  <w:tcW w:w="0" w:type="auto"/>
                  <w:tcBorders>
                    <w:tl2br w:val="nil"/>
                    <w:tr2bl w:val="nil"/>
                  </w:tcBorders>
                  <w:vAlign w:val="center"/>
                </w:tcPr>
                <w:p>
                  <w:pPr>
                    <w:widowControl/>
                    <w:jc w:val="center"/>
                    <w:textAlignment w:val="center"/>
                    <w:rPr>
                      <w:rFonts w:hint="eastAsia" w:ascii="仿宋" w:hAnsi="仿宋" w:eastAsia="仿宋" w:cs="仿宋"/>
                      <w:snapToGrid w:val="0"/>
                      <w:color w:val="000000"/>
                      <w:kern w:val="0"/>
                      <w:sz w:val="21"/>
                      <w:szCs w:val="24"/>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ascii="Times New Roman" w:hAnsi="Times New Roman"/>
                      <w:color w:val="000000" w:themeColor="text1"/>
                      <w:kern w:val="0"/>
                      <w:sz w:val="20"/>
                      <w:szCs w:val="20"/>
                      <w:highlight w:val="none"/>
                      <w14:textFill>
                        <w14:solidFill>
                          <w14:schemeClr w14:val="tx1"/>
                        </w14:solidFill>
                      </w14:textFill>
                    </w:rPr>
                    <w:t>25</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napToGrid w:val="0"/>
                      <w:color w:val="000000"/>
                      <w:kern w:val="0"/>
                      <w:sz w:val="20"/>
                      <w:szCs w:val="20"/>
                      <w:lang w:val="en-US" w:eastAsia="zh-CN" w:bidi="ar"/>
                    </w:rPr>
                  </w:pPr>
                  <w:r>
                    <w:rPr>
                      <w:rFonts w:hint="eastAsia" w:ascii="Times New Roman" w:hAnsi="Times New Roman" w:cs="Times New Roman"/>
                      <w:snapToGrid w:val="0"/>
                      <w:color w:val="000000"/>
                      <w:kern w:val="0"/>
                      <w:sz w:val="20"/>
                      <w:szCs w:val="20"/>
                      <w:lang w:val="en-US" w:eastAsia="zh-CN" w:bidi="ar"/>
                    </w:rPr>
                    <w:t>17016</w:t>
                  </w:r>
                </w:p>
              </w:tc>
              <w:tc>
                <w:tcPr>
                  <w:tcW w:w="0" w:type="auto"/>
                  <w:tcBorders>
                    <w:tl2br w:val="nil"/>
                    <w:tr2bl w:val="nil"/>
                  </w:tcBorders>
                  <w:vAlign w:val="center"/>
                </w:tcPr>
                <w:p>
                  <w:pPr>
                    <w:widowControl/>
                    <w:jc w:val="left"/>
                    <w:textAlignment w:val="center"/>
                    <w:rPr>
                      <w:rFonts w:hint="eastAsia" w:ascii="宋体" w:hAnsi="宋体" w:eastAsia="宋体" w:cs="宋体"/>
                      <w:snapToGrid w:val="0"/>
                      <w:color w:val="000000"/>
                      <w:kern w:val="0"/>
                      <w:sz w:val="21"/>
                      <w:szCs w:val="24"/>
                      <w:lang w:val="en-US" w:eastAsia="zh-CN" w:bidi="ar"/>
                    </w:rPr>
                  </w:pPr>
                  <w:r>
                    <w:rPr>
                      <w:rFonts w:hint="eastAsia" w:ascii="Times New Roman" w:hAnsi="Times New Roman" w:eastAsia="宋体" w:cs="Times New Roman"/>
                      <w:color w:val="000000" w:themeColor="text1"/>
                      <w:kern w:val="0"/>
                      <w:sz w:val="20"/>
                      <w:szCs w:val="20"/>
                      <w:highlight w:val="none"/>
                      <w:lang w:val="en-US" w:eastAsia="zh-CN" w:bidi="ar-SA"/>
                      <w14:textFill>
                        <w14:solidFill>
                          <w14:schemeClr w14:val="tx1"/>
                        </w14:solidFill>
                      </w14:textFill>
                    </w:rPr>
                    <w:t>精细化工生产技术</w:t>
                  </w:r>
                </w:p>
              </w:tc>
              <w:tc>
                <w:tcPr>
                  <w:tcW w:w="0" w:type="auto"/>
                  <w:tcBorders>
                    <w:tl2br w:val="nil"/>
                    <w:tr2bl w:val="nil"/>
                  </w:tcBorders>
                  <w:vAlign w:val="center"/>
                </w:tcPr>
                <w:p>
                  <w:pPr>
                    <w:widowControl/>
                    <w:jc w:val="center"/>
                    <w:textAlignment w:val="center"/>
                    <w:rPr>
                      <w:rFonts w:hint="eastAsia" w:ascii="仿宋" w:hAnsi="仿宋" w:eastAsia="仿宋" w:cs="仿宋"/>
                      <w:snapToGrid w:val="0"/>
                      <w:color w:val="000000"/>
                      <w:kern w:val="0"/>
                      <w:sz w:val="21"/>
                      <w:szCs w:val="24"/>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eastAsia="宋体" w:cs="Arial"/>
                      <w:snapToGrid w:val="0"/>
                      <w:color w:val="000000"/>
                      <w:kern w:val="0"/>
                      <w:sz w:val="21"/>
                      <w:szCs w:val="21"/>
                      <w:lang w:val="en-US" w:eastAsia="zh-CN" w:bidi="ar"/>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26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17017</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highlight w:val="none"/>
                      <w:lang w:val="en-US" w:eastAsia="zh-CN" w:bidi="ar-SA"/>
                      <w14:textFill>
                        <w14:solidFill>
                          <w14:schemeClr w14:val="tx1"/>
                        </w14:solidFill>
                      </w14:textFill>
                    </w:rPr>
                    <w:t>盐化工生产技术</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27</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17018</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石油化工生产技术</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36</w:t>
                  </w: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通识课</w:t>
                  </w:r>
                </w:p>
              </w:tc>
              <w:tc>
                <w:tcPr>
                  <w:tcW w:w="0" w:type="auto"/>
                  <w:vMerge w:val="restar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28</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snapToGrid w:val="0"/>
                      <w:color w:val="000000"/>
                      <w:kern w:val="0"/>
                      <w:sz w:val="20"/>
                      <w:szCs w:val="20"/>
                      <w:lang w:val="en-US" w:eastAsia="zh-CN" w:bidi="ar"/>
                    </w:rPr>
                    <w:t>70006</w:t>
                  </w:r>
                </w:p>
              </w:tc>
              <w:tc>
                <w:tcPr>
                  <w:tcW w:w="0" w:type="auto"/>
                  <w:tcBorders>
                    <w:tl2br w:val="nil"/>
                    <w:tr2bl w:val="nil"/>
                  </w:tcBorders>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both"/>
                    <w:rPr>
                      <w:rFonts w:hint="eastAsia" w:ascii="宋体" w:hAnsi="宋体"/>
                      <w:kern w:val="0"/>
                      <w:sz w:val="20"/>
                      <w:szCs w:val="20"/>
                    </w:rPr>
                  </w:pPr>
                  <w:r>
                    <w:rPr>
                      <w:rFonts w:hint="eastAsia" w:ascii="宋体" w:hAnsi="宋体" w:eastAsia="宋体" w:cs="宋体"/>
                      <w:snapToGrid w:val="0"/>
                      <w:color w:val="000000"/>
                      <w:kern w:val="0"/>
                      <w:sz w:val="21"/>
                      <w:szCs w:val="24"/>
                      <w:lang w:val="en-US" w:eastAsia="zh-CN" w:bidi="ar"/>
                    </w:rPr>
                    <w:t>江西红色文化（专）</w:t>
                  </w:r>
                </w:p>
              </w:tc>
              <w:tc>
                <w:tcPr>
                  <w:tcW w:w="0" w:type="auto"/>
                  <w:tcBorders>
                    <w:tl2br w:val="nil"/>
                    <w:tr2bl w:val="nil"/>
                  </w:tcBorders>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kern w:val="0"/>
                      <w:sz w:val="20"/>
                      <w:szCs w:val="20"/>
                    </w:rPr>
                  </w:pPr>
                  <w:r>
                    <w:rPr>
                      <w:rFonts w:hint="eastAsia" w:ascii="仿宋" w:hAnsi="仿宋" w:eastAsia="仿宋" w:cs="仿宋"/>
                      <w:snapToGrid w:val="0"/>
                      <w:color w:val="000000"/>
                      <w:kern w:val="0"/>
                      <w:sz w:val="21"/>
                      <w:szCs w:val="24"/>
                      <w:lang w:val="en-US" w:eastAsia="zh-CN" w:bidi="ar"/>
                    </w:rPr>
                    <w:t>2</w:t>
                  </w:r>
                </w:p>
              </w:tc>
              <w:tc>
                <w:tcPr>
                  <w:tcW w:w="0" w:type="auto"/>
                  <w:tcBorders>
                    <w:tl2br w:val="nil"/>
                    <w:tr2bl w:val="nil"/>
                  </w:tcBorders>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kern w:val="0"/>
                      <w:sz w:val="20"/>
                      <w:szCs w:val="20"/>
                    </w:rPr>
                  </w:pPr>
                  <w:r>
                    <w:rPr>
                      <w:rFonts w:hint="eastAsia" w:ascii="宋体" w:hAnsi="宋体" w:eastAsia="宋体" w:cs="Arial"/>
                      <w:snapToGrid w:val="0"/>
                      <w:color w:val="000000"/>
                      <w:kern w:val="0"/>
                      <w:sz w:val="21"/>
                      <w:szCs w:val="21"/>
                      <w:lang w:val="en-US" w:eastAsia="zh-CN" w:bidi="ar"/>
                    </w:rPr>
                    <w:t>36</w:t>
                  </w:r>
                </w:p>
              </w:tc>
              <w:tc>
                <w:tcPr>
                  <w:tcW w:w="0" w:type="auto"/>
                  <w:tcBorders>
                    <w:tl2br w:val="nil"/>
                    <w:tr2bl w:val="nil"/>
                  </w:tcBorders>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kern w:val="0"/>
                      <w:sz w:val="20"/>
                      <w:szCs w:val="20"/>
                    </w:rPr>
                  </w:pPr>
                  <w:r>
                    <w:rPr>
                      <w:rFonts w:hint="eastAsia" w:ascii="宋体" w:hAnsi="宋体" w:eastAsia="宋体" w:cs="Arial"/>
                      <w:snapToGrid w:val="0"/>
                      <w:color w:val="000000"/>
                      <w:kern w:val="0"/>
                      <w:sz w:val="21"/>
                      <w:szCs w:val="21"/>
                      <w:lang w:val="en-US" w:eastAsia="zh-CN" w:bidi="ar"/>
                    </w:rPr>
                    <w:t>20</w:t>
                  </w:r>
                </w:p>
              </w:tc>
              <w:tc>
                <w:tcPr>
                  <w:tcW w:w="0" w:type="auto"/>
                  <w:tcBorders>
                    <w:tl2br w:val="nil"/>
                    <w:tr2bl w:val="nil"/>
                  </w:tcBorders>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kern w:val="0"/>
                      <w:sz w:val="20"/>
                      <w:szCs w:val="20"/>
                    </w:rPr>
                  </w:pPr>
                  <w:r>
                    <w:rPr>
                      <w:rFonts w:hint="eastAsia" w:ascii="宋体" w:hAnsi="宋体" w:eastAsia="宋体" w:cs="Arial"/>
                      <w:snapToGrid w:val="0"/>
                      <w:color w:val="000000"/>
                      <w:kern w:val="0"/>
                      <w:sz w:val="21"/>
                      <w:szCs w:val="21"/>
                      <w:lang w:val="en-US" w:eastAsia="zh-CN" w:bidi="ar"/>
                    </w:rPr>
                    <w:t>16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lang w:val="en-US" w:eastAsia="zh-CN"/>
                    </w:rPr>
                    <w:t>0</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lang w:val="en-US" w:eastAsia="zh-CN"/>
                      <w14:textFill>
                        <w14:solidFill>
                          <w14:schemeClr w14:val="tx1"/>
                        </w14:solidFill>
                      </w14:textFill>
                    </w:rPr>
                    <w:t>29</w:t>
                  </w:r>
                </w:p>
              </w:tc>
              <w:tc>
                <w:tcPr>
                  <w:tcW w:w="0" w:type="auto"/>
                  <w:tcBorders>
                    <w:tl2br w:val="nil"/>
                    <w:tr2bl w:val="nil"/>
                  </w:tcBorders>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kern w:val="0"/>
                      <w:sz w:val="20"/>
                      <w:szCs w:val="20"/>
                    </w:rPr>
                  </w:pPr>
                  <w:r>
                    <w:rPr>
                      <w:rFonts w:hint="default" w:ascii="Times New Roman" w:hAnsi="Times New Roman" w:eastAsia="宋体" w:cs="Times New Roman"/>
                      <w:snapToGrid w:val="0"/>
                      <w:color w:val="000000"/>
                      <w:kern w:val="0"/>
                      <w:sz w:val="20"/>
                      <w:szCs w:val="20"/>
                      <w:lang w:val="en-US" w:eastAsia="zh-CN" w:bidi="ar"/>
                    </w:rPr>
                    <w:t>70002</w:t>
                  </w:r>
                </w:p>
              </w:tc>
              <w:tc>
                <w:tcPr>
                  <w:tcW w:w="0" w:type="auto"/>
                  <w:tcBorders>
                    <w:tl2br w:val="nil"/>
                    <w:tr2bl w:val="nil"/>
                  </w:tcBorders>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both"/>
                    <w:rPr>
                      <w:rFonts w:hint="eastAsia" w:ascii="宋体" w:hAnsi="宋体"/>
                      <w:kern w:val="0"/>
                      <w:sz w:val="20"/>
                      <w:szCs w:val="20"/>
                    </w:rPr>
                  </w:pPr>
                  <w:r>
                    <w:rPr>
                      <w:rFonts w:hint="eastAsia" w:ascii="宋体" w:hAnsi="宋体" w:eastAsia="宋体" w:cs="宋体"/>
                      <w:snapToGrid w:val="0"/>
                      <w:color w:val="000000"/>
                      <w:kern w:val="0"/>
                      <w:sz w:val="21"/>
                      <w:szCs w:val="24"/>
                      <w:lang w:val="en-US" w:eastAsia="zh-CN" w:bidi="ar"/>
                    </w:rPr>
                    <w:t>常见心理问题与危机应对</w:t>
                  </w:r>
                </w:p>
              </w:tc>
              <w:tc>
                <w:tcPr>
                  <w:tcW w:w="0" w:type="auto"/>
                  <w:tcBorders>
                    <w:tl2br w:val="nil"/>
                    <w:tr2bl w:val="nil"/>
                  </w:tcBorders>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kern w:val="0"/>
                      <w:sz w:val="20"/>
                      <w:szCs w:val="20"/>
                    </w:rPr>
                  </w:pPr>
                  <w:r>
                    <w:rPr>
                      <w:rFonts w:hint="eastAsia" w:ascii="仿宋" w:hAnsi="仿宋" w:eastAsia="仿宋" w:cs="仿宋"/>
                      <w:snapToGrid w:val="0"/>
                      <w:color w:val="000000"/>
                      <w:kern w:val="0"/>
                      <w:sz w:val="21"/>
                      <w:szCs w:val="24"/>
                      <w:lang w:val="en-US" w:eastAsia="zh-CN" w:bidi="ar"/>
                    </w:rPr>
                    <w:t>2</w:t>
                  </w:r>
                </w:p>
              </w:tc>
              <w:tc>
                <w:tcPr>
                  <w:tcW w:w="0" w:type="auto"/>
                  <w:tcBorders>
                    <w:tl2br w:val="nil"/>
                    <w:tr2bl w:val="nil"/>
                  </w:tcBorders>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kern w:val="0"/>
                      <w:sz w:val="20"/>
                      <w:szCs w:val="20"/>
                    </w:rPr>
                  </w:pPr>
                  <w:r>
                    <w:rPr>
                      <w:rFonts w:hint="eastAsia" w:ascii="宋体" w:hAnsi="宋体" w:eastAsia="宋体" w:cs="Arial"/>
                      <w:snapToGrid w:val="0"/>
                      <w:color w:val="000000"/>
                      <w:kern w:val="0"/>
                      <w:sz w:val="21"/>
                      <w:szCs w:val="21"/>
                      <w:lang w:val="en-US" w:eastAsia="zh-CN" w:bidi="ar"/>
                    </w:rPr>
                    <w:t>36</w:t>
                  </w:r>
                </w:p>
              </w:tc>
              <w:tc>
                <w:tcPr>
                  <w:tcW w:w="0" w:type="auto"/>
                  <w:tcBorders>
                    <w:tl2br w:val="nil"/>
                    <w:tr2bl w:val="nil"/>
                  </w:tcBorders>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kern w:val="0"/>
                      <w:sz w:val="20"/>
                      <w:szCs w:val="20"/>
                    </w:rPr>
                  </w:pPr>
                  <w:r>
                    <w:rPr>
                      <w:rFonts w:hint="eastAsia" w:ascii="宋体" w:hAnsi="宋体" w:eastAsia="宋体" w:cs="Arial"/>
                      <w:snapToGrid w:val="0"/>
                      <w:color w:val="000000"/>
                      <w:kern w:val="0"/>
                      <w:sz w:val="21"/>
                      <w:szCs w:val="21"/>
                      <w:lang w:val="en-US" w:eastAsia="zh-CN" w:bidi="ar"/>
                    </w:rPr>
                    <w:t>36</w:t>
                  </w:r>
                </w:p>
              </w:tc>
              <w:tc>
                <w:tcPr>
                  <w:tcW w:w="0" w:type="auto"/>
                  <w:tcBorders>
                    <w:tl2br w:val="nil"/>
                    <w:tr2bl w:val="nil"/>
                  </w:tcBorders>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lang w:val="en-US" w:eastAsia="zh-CN"/>
                    </w:rPr>
                    <w:t>0</w:t>
                  </w:r>
                </w:p>
              </w:tc>
              <w:tc>
                <w:tcPr>
                  <w:tcW w:w="0" w:type="auto"/>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kern w:val="0"/>
                      <w:sz w:val="20"/>
                      <w:szCs w:val="20"/>
                    </w:rPr>
                  </w:pPr>
                  <w:r>
                    <w:rPr>
                      <w:rFonts w:hint="eastAsia" w:ascii="Times New Roman" w:hAnsi="宋体" w:eastAsia="宋体" w:cs="宋体"/>
                      <w:snapToGrid w:val="0"/>
                      <w:color w:val="000000"/>
                      <w:kern w:val="0"/>
                      <w:sz w:val="20"/>
                      <w:szCs w:val="20"/>
                      <w:lang w:val="en-US" w:eastAsia="zh-CN" w:bidi="ar"/>
                    </w:rPr>
                    <w:t>必修</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eastAsia="宋体"/>
                      <w:kern w:val="0"/>
                      <w:sz w:val="20"/>
                      <w:szCs w:val="20"/>
                      <w:lang w:eastAsia="zh-CN"/>
                    </w:rPr>
                    <w:t>省</w:t>
                  </w:r>
                  <w:r>
                    <w:rPr>
                      <w:rFonts w:hint="eastAsia" w:ascii="宋体" w:hAnsi="宋体"/>
                      <w:kern w:val="0"/>
                      <w:sz w:val="20"/>
                      <w:szCs w:val="20"/>
                    </w:rPr>
                    <w:t>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restar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kern w:val="0"/>
                      <w:sz w:val="20"/>
                      <w:szCs w:val="20"/>
                      <w:lang w:val="en-US" w:eastAsia="zh-CN"/>
                    </w:rPr>
                  </w:pPr>
                  <w:r>
                    <w:rPr>
                      <w:rFonts w:hint="eastAsia" w:ascii="宋体" w:hAnsi="宋体" w:eastAsia="宋体" w:cs="Arial"/>
                      <w:snapToGrid w:val="0"/>
                      <w:color w:val="000000"/>
                      <w:kern w:val="0"/>
                      <w:sz w:val="21"/>
                      <w:szCs w:val="21"/>
                      <w:lang w:val="en-US" w:eastAsia="zh-CN" w:bidi="ar"/>
                    </w:rPr>
                    <w:t>企业特色课</w:t>
                  </w:r>
                </w:p>
              </w:tc>
              <w:tc>
                <w:tcPr>
                  <w:tcW w:w="0" w:type="auto"/>
                  <w:vMerge w:val="restar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kern w:val="0"/>
                      <w:sz w:val="20"/>
                      <w:szCs w:val="20"/>
                      <w:lang w:val="en-US" w:eastAsia="zh-CN"/>
                    </w:rPr>
                  </w:pPr>
                  <w:r>
                    <w:rPr>
                      <w:rFonts w:hint="eastAsia" w:ascii="宋体" w:hAnsi="宋体" w:eastAsia="宋体" w:cs="Arial"/>
                      <w:snapToGrid w:val="0"/>
                      <w:color w:val="000000"/>
                      <w:kern w:val="0"/>
                      <w:sz w:val="21"/>
                      <w:szCs w:val="21"/>
                      <w:lang w:val="en-US" w:eastAsia="zh-CN" w:bidi="ar"/>
                    </w:rPr>
                    <w:t>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30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17020</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企业特色课1</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31</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17021</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企业特色课2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3</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restart"/>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kern w:val="0"/>
                      <w:sz w:val="20"/>
                      <w:szCs w:val="20"/>
                      <w:lang w:eastAsia="zh-CN"/>
                    </w:rPr>
                  </w:pPr>
                  <w:r>
                    <w:rPr>
                      <w:rFonts w:hint="eastAsia" w:ascii="宋体" w:hAnsi="宋体" w:eastAsia="宋体" w:cs="Arial"/>
                      <w:snapToGrid w:val="0"/>
                      <w:color w:val="000000"/>
                      <w:kern w:val="0"/>
                      <w:sz w:val="21"/>
                      <w:szCs w:val="21"/>
                      <w:lang w:val="en-US" w:eastAsia="zh-CN" w:bidi="ar"/>
                    </w:rPr>
                    <w:t>技能实践课</w:t>
                  </w:r>
                </w:p>
              </w:tc>
              <w:tc>
                <w:tcPr>
                  <w:tcW w:w="0" w:type="auto"/>
                  <w:vMerge w:val="restar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kern w:val="0"/>
                      <w:sz w:val="20"/>
                      <w:szCs w:val="20"/>
                      <w:lang w:val="en-US" w:eastAsia="zh-CN"/>
                    </w:rPr>
                  </w:pPr>
                  <w:r>
                    <w:rPr>
                      <w:rFonts w:hint="eastAsia" w:ascii="宋体" w:hAnsi="宋体" w:eastAsia="宋体" w:cs="Arial"/>
                      <w:snapToGrid w:val="0"/>
                      <w:color w:val="000000"/>
                      <w:kern w:val="0"/>
                      <w:sz w:val="21"/>
                      <w:szCs w:val="21"/>
                      <w:lang w:val="en-US" w:eastAsia="zh-CN" w:bidi="ar"/>
                    </w:rPr>
                    <w:t>8</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32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17022</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专业实习</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jc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bCs/>
                      <w:color w:val="000000" w:themeColor="text1"/>
                      <w:kern w:val="0"/>
                      <w:sz w:val="20"/>
                      <w:szCs w:val="20"/>
                      <w:highlight w:val="none"/>
                      <w:lang w:val="en-US" w:eastAsia="zh-CN"/>
                      <w14:textFill>
                        <w14:solidFill>
                          <w14:schemeClr w14:val="tx1"/>
                        </w14:solidFill>
                      </w14:textFill>
                    </w:rPr>
                    <w:t>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Arial"/>
                      <w:snapToGrid w:val="0"/>
                      <w:color w:val="000000"/>
                      <w:kern w:val="0"/>
                      <w:sz w:val="21"/>
                      <w:szCs w:val="21"/>
                      <w:lang w:val="en-US" w:eastAsia="zh-CN" w:bidi="ar"/>
                    </w:rPr>
                  </w:pPr>
                </w:p>
              </w:tc>
              <w:tc>
                <w:tcPr>
                  <w:tcW w:w="0" w:type="auto"/>
                  <w:vMerge w:val="continue"/>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snapToGrid w:val="0"/>
                      <w:color w:val="000000"/>
                      <w:kern w:val="0"/>
                      <w:sz w:val="21"/>
                      <w:szCs w:val="21"/>
                      <w:lang w:val="en-US" w:eastAsia="zh-CN" w:bidi="ar"/>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33</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17023</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毕业设计</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jc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themeColor="text1"/>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Times New Roman" w:hAnsi="Times New Roman"/>
                      <w:color w:val="000000" w:themeColor="text1"/>
                      <w:kern w:val="0"/>
                      <w:sz w:val="20"/>
                      <w:szCs w:val="20"/>
                      <w:highlight w:val="none"/>
                      <w:lang w:val="en-US" w:eastAsia="zh-CN"/>
                      <w14:textFill>
                        <w14:solidFill>
                          <w14:schemeClr w14:val="tx1"/>
                        </w14:solidFill>
                      </w14:textFill>
                    </w:rPr>
                    <w:t>72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highlight w:val="none"/>
                      <w14:textFill>
                        <w14:solidFill>
                          <w14:schemeClr w14:val="tx1"/>
                        </w14:solidFill>
                      </w14:textFill>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bCs/>
                      <w:color w:val="000000" w:themeColor="text1"/>
                      <w:kern w:val="0"/>
                      <w:sz w:val="20"/>
                      <w:szCs w:val="20"/>
                      <w:highlight w:val="none"/>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6" w:hRule="exact"/>
              </w:trPr>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gridSpan w:val="4"/>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合  计</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kern w:val="0"/>
                      <w:sz w:val="13"/>
                      <w:szCs w:val="13"/>
                      <w:lang w:val="en-US"/>
                    </w:rPr>
                  </w:pPr>
                  <w:r>
                    <w:rPr>
                      <w:rFonts w:hint="eastAsia" w:ascii="宋体" w:hAnsi="宋体" w:eastAsia="宋体" w:cs="宋体"/>
                      <w:i w:val="0"/>
                      <w:iCs w:val="0"/>
                      <w:color w:val="000000"/>
                      <w:kern w:val="0"/>
                      <w:sz w:val="16"/>
                      <w:szCs w:val="16"/>
                      <w:u w:val="none"/>
                      <w:lang w:val="en-US" w:eastAsia="zh-CN" w:bidi="ar"/>
                    </w:rPr>
                    <w:t>9</w:t>
                  </w:r>
                  <w:r>
                    <w:rPr>
                      <w:rFonts w:hint="eastAsia" w:ascii="宋体" w:hAnsi="宋体" w:cs="宋体"/>
                      <w:i w:val="0"/>
                      <w:iCs w:val="0"/>
                      <w:color w:val="000000"/>
                      <w:kern w:val="0"/>
                      <w:sz w:val="16"/>
                      <w:szCs w:val="16"/>
                      <w:u w:val="none"/>
                      <w:lang w:val="en-US" w:eastAsia="zh-CN" w:bidi="ar"/>
                    </w:rPr>
                    <w:t>5</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kern w:val="0"/>
                      <w:sz w:val="13"/>
                      <w:szCs w:val="13"/>
                      <w:lang w:val="en-US"/>
                    </w:rPr>
                  </w:pPr>
                  <w:r>
                    <w:rPr>
                      <w:rFonts w:hint="eastAsia" w:ascii="宋体" w:hAnsi="宋体" w:eastAsia="宋体" w:cs="宋体"/>
                      <w:i w:val="0"/>
                      <w:iCs w:val="0"/>
                      <w:color w:val="000000"/>
                      <w:kern w:val="0"/>
                      <w:sz w:val="16"/>
                      <w:szCs w:val="16"/>
                      <w:u w:val="none"/>
                      <w:lang w:val="en-US" w:eastAsia="zh-CN" w:bidi="ar"/>
                    </w:rPr>
                    <w:t>17</w:t>
                  </w:r>
                  <w:r>
                    <w:rPr>
                      <w:rFonts w:hint="eastAsia" w:ascii="宋体" w:hAnsi="宋体" w:cs="宋体"/>
                      <w:i w:val="0"/>
                      <w:iCs w:val="0"/>
                      <w:color w:val="000000"/>
                      <w:kern w:val="0"/>
                      <w:sz w:val="16"/>
                      <w:szCs w:val="16"/>
                      <w:u w:val="none"/>
                      <w:lang w:val="en-US" w:eastAsia="zh-CN" w:bidi="ar"/>
                    </w:rPr>
                    <w:t>10</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kern w:val="0"/>
                      <w:sz w:val="13"/>
                      <w:szCs w:val="13"/>
                      <w:lang w:val="en-US"/>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166</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kern w:val="0"/>
                      <w:sz w:val="13"/>
                      <w:szCs w:val="13"/>
                      <w:lang w:val="en-US"/>
                    </w:rPr>
                  </w:pPr>
                  <w:r>
                    <w:rPr>
                      <w:rFonts w:hint="eastAsia" w:ascii="宋体" w:hAnsi="宋体" w:eastAsia="宋体" w:cs="宋体"/>
                      <w:i w:val="0"/>
                      <w:iCs w:val="0"/>
                      <w:color w:val="000000"/>
                      <w:kern w:val="0"/>
                      <w:sz w:val="16"/>
                      <w:szCs w:val="16"/>
                      <w:u w:val="none"/>
                      <w:lang w:val="en-US" w:eastAsia="zh-CN" w:bidi="ar"/>
                    </w:rPr>
                    <w:t>5</w:t>
                  </w:r>
                  <w:r>
                    <w:rPr>
                      <w:rFonts w:hint="eastAsia" w:ascii="宋体" w:hAnsi="宋体" w:cs="宋体"/>
                      <w:i w:val="0"/>
                      <w:iCs w:val="0"/>
                      <w:color w:val="000000"/>
                      <w:kern w:val="0"/>
                      <w:sz w:val="16"/>
                      <w:szCs w:val="16"/>
                      <w:u w:val="none"/>
                      <w:lang w:val="en-US" w:eastAsia="zh-CN" w:bidi="ar"/>
                    </w:rPr>
                    <w:t>44</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color w:val="000000"/>
                      <w:kern w:val="0"/>
                      <w:sz w:val="16"/>
                      <w:szCs w:val="16"/>
                      <w:u w:val="none"/>
                      <w:lang w:val="en-US" w:eastAsia="zh-CN" w:bidi="ar"/>
                    </w:rPr>
                    <w:t>0</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color w:val="000000"/>
                      <w:kern w:val="0"/>
                      <w:sz w:val="16"/>
                      <w:szCs w:val="16"/>
                      <w:u w:val="none"/>
                      <w:lang w:val="en-US" w:eastAsia="zh-CN" w:bidi="ar"/>
                    </w:rPr>
                    <w:t>234</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color w:val="000000"/>
                      <w:kern w:val="0"/>
                      <w:sz w:val="16"/>
                      <w:szCs w:val="16"/>
                      <w:u w:val="none"/>
                      <w:lang w:val="en-US" w:eastAsia="zh-CN" w:bidi="ar"/>
                    </w:rPr>
                    <w:t>342</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kern w:val="0"/>
                      <w:sz w:val="15"/>
                      <w:szCs w:val="15"/>
                      <w:lang w:val="en-US" w:eastAsia="zh-CN"/>
                    </w:rPr>
                    <w:t>540</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color w:val="000000"/>
                      <w:kern w:val="0"/>
                      <w:sz w:val="16"/>
                      <w:szCs w:val="16"/>
                      <w:u w:val="none"/>
                      <w:lang w:val="en-US" w:eastAsia="zh-CN" w:bidi="ar"/>
                    </w:rPr>
                    <w:t>450</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color w:val="000000"/>
                      <w:kern w:val="0"/>
                      <w:sz w:val="16"/>
                      <w:szCs w:val="16"/>
                      <w:u w:val="none"/>
                      <w:lang w:val="en-US" w:eastAsia="zh-CN" w:bidi="ar"/>
                    </w:rPr>
                    <w:t>126</w:t>
                  </w:r>
                </w:p>
              </w:tc>
              <w:tc>
                <w:tcPr>
                  <w:tcW w:w="0" w:type="auto"/>
                  <w:gridSpan w:val="3"/>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gridSpan w:val="6"/>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百分比（%）</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color w:val="000000"/>
                      <w:kern w:val="0"/>
                      <w:sz w:val="16"/>
                      <w:szCs w:val="16"/>
                      <w:u w:val="none"/>
                      <w:lang w:val="en-US" w:eastAsia="zh-CN" w:bidi="ar"/>
                    </w:rPr>
                    <w:t xml:space="preserve">68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color w:val="000000"/>
                      <w:kern w:val="0"/>
                      <w:sz w:val="16"/>
                      <w:szCs w:val="16"/>
                      <w:u w:val="none"/>
                      <w:lang w:val="en-US" w:eastAsia="zh-CN" w:bidi="ar"/>
                    </w:rPr>
                    <w:t xml:space="preserve">32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color w:val="000000"/>
                      <w:kern w:val="0"/>
                      <w:sz w:val="16"/>
                      <w:szCs w:val="16"/>
                      <w:u w:val="none"/>
                      <w:lang w:val="en-US" w:eastAsia="zh-CN" w:bidi="ar"/>
                    </w:rPr>
                    <w:t xml:space="preserve">0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color w:val="000000"/>
                      <w:kern w:val="0"/>
                      <w:sz w:val="16"/>
                      <w:szCs w:val="16"/>
                      <w:u w:val="none"/>
                      <w:lang w:val="en-US" w:eastAsia="zh-CN" w:bidi="ar"/>
                    </w:rPr>
                    <w:t xml:space="preserve">13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color w:val="000000"/>
                      <w:kern w:val="0"/>
                      <w:sz w:val="16"/>
                      <w:szCs w:val="16"/>
                      <w:u w:val="none"/>
                      <w:lang w:val="en-US" w:eastAsia="zh-CN" w:bidi="ar"/>
                    </w:rPr>
                    <w:t xml:space="preserve">19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color w:val="000000"/>
                      <w:kern w:val="0"/>
                      <w:sz w:val="16"/>
                      <w:szCs w:val="16"/>
                      <w:u w:val="none"/>
                      <w:lang w:val="en-US" w:eastAsia="zh-CN" w:bidi="ar"/>
                    </w:rPr>
                    <w:t xml:space="preserve">34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color w:val="000000"/>
                      <w:kern w:val="0"/>
                      <w:sz w:val="16"/>
                      <w:szCs w:val="16"/>
                      <w:u w:val="none"/>
                      <w:lang w:val="en-US" w:eastAsia="zh-CN" w:bidi="ar"/>
                    </w:rPr>
                    <w:t xml:space="preserve">25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color w:val="000000"/>
                      <w:kern w:val="0"/>
                      <w:sz w:val="16"/>
                      <w:szCs w:val="16"/>
                      <w:u w:val="none"/>
                      <w:lang w:val="en-US" w:eastAsia="zh-CN" w:bidi="ar"/>
                    </w:rPr>
                    <w:t xml:space="preserve">7 </w:t>
                  </w:r>
                </w:p>
              </w:tc>
              <w:tc>
                <w:tcPr>
                  <w:tcW w:w="0" w:type="auto"/>
                  <w:gridSpan w:val="3"/>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r>
          </w:tbl>
          <w:p>
            <w:pPr>
              <w:spacing w:line="580" w:lineRule="exact"/>
              <w:jc w:val="both"/>
              <w:rPr>
                <w:sz w:val="32"/>
                <w:szCs w:val="24"/>
              </w:rPr>
            </w:pPr>
          </w:p>
        </w:tc>
      </w:tr>
    </w:tbl>
    <w:p>
      <w:pPr>
        <w:spacing w:afterLines="50" w:line="580" w:lineRule="exact"/>
        <w:jc w:val="center"/>
        <w:rPr>
          <w:rFonts w:ascii="方正小标宋简体" w:eastAsia="方正小标宋简体"/>
          <w:sz w:val="32"/>
          <w:szCs w:val="32"/>
        </w:rPr>
      </w:pPr>
    </w:p>
    <w:p>
      <w:pPr>
        <w:spacing w:afterLines="50" w:line="580" w:lineRule="exact"/>
        <w:jc w:val="center"/>
        <w:rPr>
          <w:rFonts w:hint="eastAsia" w:ascii="方正小标宋简体" w:eastAsia="方正小标宋简体"/>
          <w:sz w:val="32"/>
          <w:szCs w:val="32"/>
        </w:rPr>
      </w:pPr>
    </w:p>
    <w:p>
      <w:pPr>
        <w:spacing w:afterLines="50" w:line="580" w:lineRule="exact"/>
        <w:jc w:val="center"/>
        <w:rPr>
          <w:rFonts w:hint="eastAsia" w:ascii="方正小标宋简体" w:eastAsia="方正小标宋简体"/>
          <w:sz w:val="32"/>
          <w:szCs w:val="32"/>
        </w:rPr>
      </w:pPr>
    </w:p>
    <w:p>
      <w:pPr>
        <w:spacing w:afterLines="50" w:line="580" w:lineRule="exact"/>
        <w:jc w:val="center"/>
        <w:rPr>
          <w:rFonts w:hint="eastAsia" w:ascii="方正小标宋简体" w:eastAsia="方正小标宋简体"/>
          <w:sz w:val="32"/>
          <w:szCs w:val="32"/>
        </w:rPr>
      </w:pPr>
    </w:p>
    <w:p>
      <w:pPr>
        <w:spacing w:afterLines="50" w:line="580" w:lineRule="exact"/>
        <w:jc w:val="center"/>
        <w:rPr>
          <w:rFonts w:hint="eastAsia" w:ascii="方正小标宋简体" w:eastAsia="方正小标宋简体"/>
          <w:sz w:val="32"/>
          <w:szCs w:val="32"/>
        </w:rPr>
      </w:pPr>
    </w:p>
    <w:p>
      <w:pPr>
        <w:spacing w:afterLines="50" w:line="580" w:lineRule="exact"/>
        <w:jc w:val="center"/>
        <w:rPr>
          <w:rFonts w:ascii="方正小标宋简体" w:eastAsia="方正小标宋简体"/>
          <w:sz w:val="32"/>
          <w:szCs w:val="32"/>
        </w:rPr>
      </w:pPr>
      <w:r>
        <w:rPr>
          <w:rFonts w:hint="eastAsia" w:ascii="方正小标宋简体" w:eastAsia="方正小标宋简体"/>
          <w:sz w:val="32"/>
          <w:szCs w:val="32"/>
        </w:rPr>
        <w:t>5.增设专业专任教师情况</w:t>
      </w:r>
    </w:p>
    <w:tbl>
      <w:tblPr>
        <w:tblStyle w:val="13"/>
        <w:tblW w:w="94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783"/>
        <w:gridCol w:w="522"/>
        <w:gridCol w:w="510"/>
        <w:gridCol w:w="1043"/>
        <w:gridCol w:w="1325"/>
        <w:gridCol w:w="1490"/>
        <w:gridCol w:w="1150"/>
        <w:gridCol w:w="957"/>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5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年龄</w:t>
            </w:r>
          </w:p>
        </w:tc>
        <w:tc>
          <w:tcPr>
            <w:tcW w:w="104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专业技术职务</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第一学历毕业学校、专业、学位</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最后学历毕业学校、专业、学位</w:t>
            </w: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现从事</w:t>
            </w:r>
          </w:p>
          <w:p>
            <w:pPr>
              <w:spacing w:line="340" w:lineRule="exact"/>
              <w:ind w:right="-105"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w:t>
            </w:r>
          </w:p>
        </w:tc>
        <w:tc>
          <w:tcPr>
            <w:tcW w:w="957"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拟任</w:t>
            </w:r>
          </w:p>
          <w:p>
            <w:pPr>
              <w:spacing w:line="340" w:lineRule="exact"/>
              <w:ind w:right="-105"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课程</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专职/</w:t>
            </w:r>
          </w:p>
          <w:p>
            <w:pPr>
              <w:spacing w:line="340" w:lineRule="exact"/>
              <w:ind w:right="-105"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5"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sz w:val="24"/>
                <w:szCs w:val="24"/>
              </w:rPr>
            </w:pPr>
            <w:r>
              <w:rPr>
                <w:rFonts w:ascii="Times New Roman" w:hAnsi="Times New Roman"/>
                <w:sz w:val="24"/>
                <w:szCs w:val="24"/>
              </w:rPr>
              <w:t>1</w:t>
            </w:r>
          </w:p>
        </w:tc>
        <w:tc>
          <w:tcPr>
            <w:tcW w:w="783"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cs="Times New Roman" w:eastAsiaTheme="minorEastAsia"/>
                <w:color w:val="000000"/>
                <w:kern w:val="2"/>
                <w:sz w:val="24"/>
                <w:szCs w:val="24"/>
                <w:lang w:val="en-US" w:eastAsia="zh-CN" w:bidi="ar-SA"/>
              </w:rPr>
            </w:pPr>
            <w:r>
              <w:rPr>
                <w:rFonts w:ascii="Times New Roman" w:hAnsi="Times New Roman" w:eastAsiaTheme="minorEastAsia"/>
                <w:color w:val="000000"/>
                <w:sz w:val="24"/>
                <w:szCs w:val="24"/>
              </w:rPr>
              <w:t>杨立强</w:t>
            </w:r>
          </w:p>
        </w:tc>
        <w:tc>
          <w:tcPr>
            <w:tcW w:w="522"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cs="Times New Roman" w:eastAsiaTheme="minorEastAsia"/>
                <w:color w:val="000000"/>
                <w:kern w:val="2"/>
                <w:sz w:val="24"/>
                <w:szCs w:val="24"/>
                <w:lang w:val="en-US" w:eastAsia="zh-CN" w:bidi="ar-SA"/>
              </w:rPr>
            </w:pPr>
            <w:r>
              <w:rPr>
                <w:rFonts w:ascii="Times New Roman" w:hAnsi="Times New Roman" w:eastAsiaTheme="minorEastAsia"/>
                <w:color w:val="000000"/>
                <w:sz w:val="24"/>
                <w:szCs w:val="24"/>
              </w:rPr>
              <w:t>男</w:t>
            </w:r>
          </w:p>
        </w:tc>
        <w:tc>
          <w:tcPr>
            <w:tcW w:w="5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cs="Times New Roman" w:eastAsiaTheme="minorEastAsia"/>
                <w:kern w:val="2"/>
                <w:sz w:val="24"/>
                <w:szCs w:val="24"/>
                <w:lang w:val="en-US" w:eastAsia="zh-CN" w:bidi="ar-SA"/>
              </w:rPr>
            </w:pPr>
            <w:r>
              <w:rPr>
                <w:rFonts w:hint="eastAsia" w:ascii="Times New Roman" w:hAnsi="Times New Roman" w:eastAsiaTheme="minorEastAsia"/>
                <w:sz w:val="24"/>
                <w:szCs w:val="24"/>
                <w:lang w:val="en-US" w:eastAsia="zh-CN"/>
              </w:rPr>
              <w:t>59</w:t>
            </w: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cs="Times New Roman" w:eastAsiaTheme="minorEastAsia"/>
                <w:color w:val="000000"/>
                <w:kern w:val="2"/>
                <w:sz w:val="24"/>
                <w:szCs w:val="24"/>
                <w:lang w:val="en-US" w:eastAsia="zh-CN" w:bidi="ar-SA"/>
              </w:rPr>
            </w:pPr>
            <w:r>
              <w:rPr>
                <w:rFonts w:ascii="Times New Roman" w:hAnsi="Times New Roman" w:eastAsiaTheme="minorEastAsia"/>
                <w:color w:val="000000"/>
                <w:sz w:val="24"/>
                <w:szCs w:val="24"/>
              </w:rPr>
              <w:t>教授</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eastAsiaTheme="minorEastAsia"/>
                <w:kern w:val="2"/>
                <w:sz w:val="24"/>
                <w:szCs w:val="24"/>
                <w:lang w:val="en-US" w:eastAsia="zh-CN" w:bidi="ar-SA"/>
              </w:rPr>
            </w:pPr>
            <w:r>
              <w:rPr>
                <w:rFonts w:ascii="Times New Roman" w:hAnsi="Times New Roman" w:eastAsiaTheme="minorEastAsia"/>
                <w:sz w:val="24"/>
                <w:szCs w:val="24"/>
              </w:rPr>
              <w:t>江西师范大学、 化学、学士</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eastAsiaTheme="minorEastAsia"/>
                <w:kern w:val="2"/>
                <w:sz w:val="24"/>
                <w:szCs w:val="24"/>
                <w:lang w:val="en-US" w:eastAsia="zh-CN" w:bidi="ar-SA"/>
              </w:rPr>
            </w:pPr>
            <w:r>
              <w:rPr>
                <w:rFonts w:ascii="Times New Roman" w:hAnsi="Times New Roman" w:eastAsiaTheme="minorEastAsia"/>
                <w:sz w:val="24"/>
                <w:szCs w:val="24"/>
              </w:rPr>
              <w:t>江西师范大学</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化学</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学士</w:t>
            </w:r>
          </w:p>
        </w:tc>
        <w:tc>
          <w:tcPr>
            <w:tcW w:w="1150" w:type="dxa"/>
            <w:tcBorders>
              <w:top w:val="single" w:color="000000" w:sz="4" w:space="0"/>
              <w:left w:val="single" w:color="000000" w:sz="4" w:space="0"/>
              <w:bottom w:val="single" w:color="000000" w:sz="4" w:space="0"/>
              <w:right w:val="single" w:color="000000" w:sz="4" w:space="0"/>
            </w:tcBorders>
            <w:vAlign w:val="top"/>
          </w:tcPr>
          <w:p>
            <w:pPr>
              <w:spacing w:line="340" w:lineRule="exact"/>
              <w:jc w:val="center"/>
              <w:rPr>
                <w:rFonts w:ascii="Times New Roman" w:hAnsi="Times New Roman" w:cs="Times New Roman" w:eastAsiaTheme="minorEastAsia"/>
                <w:kern w:val="2"/>
                <w:sz w:val="24"/>
                <w:szCs w:val="24"/>
                <w:lang w:val="en-US" w:eastAsia="zh-CN" w:bidi="ar-SA"/>
              </w:rPr>
            </w:pPr>
            <w:r>
              <w:rPr>
                <w:rFonts w:ascii="Times New Roman" w:hAnsi="Times New Roman" w:eastAsiaTheme="minorEastAsia"/>
                <w:sz w:val="24"/>
                <w:szCs w:val="24"/>
              </w:rPr>
              <w:t>化学</w:t>
            </w:r>
          </w:p>
        </w:tc>
        <w:tc>
          <w:tcPr>
            <w:tcW w:w="957"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eastAsia" w:ascii="Times New Roman" w:hAnsi="Times New Roman" w:eastAsia="宋体"/>
                <w:sz w:val="24"/>
                <w:szCs w:val="24"/>
                <w:lang w:eastAsia="zh-CN"/>
              </w:rPr>
            </w:pPr>
            <w:r>
              <w:rPr>
                <w:rFonts w:ascii="Times New Roman" w:hAnsi="Times New Roman"/>
                <w:sz w:val="24"/>
                <w:szCs w:val="24"/>
              </w:rPr>
              <w:t>化工识图与绘图</w:t>
            </w:r>
            <w:r>
              <w:rPr>
                <w:rFonts w:hint="eastAsia" w:ascii="Times New Roman" w:hAnsi="Times New Roman"/>
                <w:sz w:val="24"/>
                <w:szCs w:val="24"/>
                <w:lang w:eastAsia="zh-CN"/>
              </w:rPr>
              <w:t>、典型化工单元设备操作与控制</w:t>
            </w:r>
          </w:p>
        </w:tc>
        <w:tc>
          <w:tcPr>
            <w:tcW w:w="1009"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sz w:val="24"/>
                <w:szCs w:val="24"/>
              </w:rPr>
            </w:pPr>
            <w:r>
              <w:rPr>
                <w:rFonts w:hint="eastAsia" w:asciiTheme="minorEastAsia" w:hAnsiTheme="minorEastAsia"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8"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sz w:val="24"/>
                <w:szCs w:val="24"/>
              </w:rPr>
            </w:pPr>
            <w:r>
              <w:rPr>
                <w:rFonts w:ascii="Times New Roman" w:hAnsi="Times New Roman"/>
                <w:sz w:val="24"/>
                <w:szCs w:val="24"/>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cs="Times New Roman" w:eastAsiaTheme="minorEastAsia"/>
                <w:color w:val="000000"/>
                <w:kern w:val="2"/>
                <w:sz w:val="24"/>
                <w:szCs w:val="24"/>
                <w:lang w:val="en-US" w:eastAsia="zh-CN" w:bidi="ar-SA"/>
              </w:rPr>
            </w:pPr>
            <w:r>
              <w:rPr>
                <w:rFonts w:ascii="Times New Roman" w:hAnsi="Times New Roman" w:eastAsiaTheme="minorEastAsia"/>
                <w:color w:val="000000"/>
                <w:sz w:val="24"/>
                <w:szCs w:val="24"/>
              </w:rPr>
              <w:t>范紫权</w:t>
            </w:r>
          </w:p>
        </w:tc>
        <w:tc>
          <w:tcPr>
            <w:tcW w:w="522"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cs="Times New Roman" w:eastAsiaTheme="minorEastAsia"/>
                <w:color w:val="000000"/>
                <w:kern w:val="2"/>
                <w:sz w:val="24"/>
                <w:szCs w:val="24"/>
                <w:lang w:val="en-US" w:eastAsia="zh-CN" w:bidi="ar-SA"/>
              </w:rPr>
            </w:pPr>
            <w:r>
              <w:rPr>
                <w:rFonts w:ascii="Times New Roman" w:hAnsi="Times New Roman" w:eastAsiaTheme="minorEastAsia"/>
                <w:color w:val="000000"/>
                <w:sz w:val="24"/>
                <w:szCs w:val="24"/>
              </w:rPr>
              <w:t>男</w:t>
            </w:r>
          </w:p>
        </w:tc>
        <w:tc>
          <w:tcPr>
            <w:tcW w:w="5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Times New Roman" w:hAnsi="Times New Roman" w:cs="Times New Roman" w:eastAsiaTheme="minorEastAsia"/>
                <w:kern w:val="2"/>
                <w:sz w:val="24"/>
                <w:szCs w:val="24"/>
                <w:lang w:val="en-US" w:eastAsia="zh-CN" w:bidi="ar-SA"/>
              </w:rPr>
            </w:pPr>
            <w:r>
              <w:rPr>
                <w:rFonts w:ascii="Times New Roman" w:hAnsi="Times New Roman" w:eastAsiaTheme="minorEastAsia"/>
                <w:sz w:val="24"/>
                <w:szCs w:val="24"/>
              </w:rPr>
              <w:t>3</w:t>
            </w:r>
            <w:r>
              <w:rPr>
                <w:rFonts w:hint="eastAsia" w:ascii="Times New Roman" w:hAnsi="Times New Roman" w:eastAsiaTheme="minorEastAsia"/>
                <w:sz w:val="24"/>
                <w:szCs w:val="24"/>
                <w:lang w:val="en-US" w:eastAsia="zh-CN"/>
              </w:rPr>
              <w:t>3</w:t>
            </w: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cs="Times New Roman" w:eastAsiaTheme="minorEastAsia"/>
                <w:color w:val="000000"/>
                <w:kern w:val="2"/>
                <w:sz w:val="24"/>
                <w:szCs w:val="24"/>
                <w:lang w:val="en-US" w:eastAsia="zh-CN" w:bidi="ar-SA"/>
              </w:rPr>
            </w:pPr>
            <w:r>
              <w:rPr>
                <w:rFonts w:ascii="Times New Roman" w:hAnsi="Times New Roman" w:eastAsiaTheme="minorEastAsia"/>
                <w:color w:val="000000"/>
                <w:sz w:val="24"/>
                <w:szCs w:val="24"/>
              </w:rPr>
              <w:t>讲师</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eastAsiaTheme="minorEastAsia"/>
                <w:color w:val="000000"/>
                <w:kern w:val="2"/>
                <w:sz w:val="24"/>
                <w:szCs w:val="24"/>
                <w:lang w:val="en-US" w:eastAsia="zh-CN" w:bidi="ar-SA"/>
              </w:rPr>
            </w:pPr>
            <w:r>
              <w:rPr>
                <w:rFonts w:ascii="Times New Roman" w:hAnsi="Times New Roman" w:eastAsiaTheme="minorEastAsia"/>
                <w:color w:val="000000"/>
                <w:sz w:val="24"/>
                <w:szCs w:val="24"/>
              </w:rPr>
              <w:t>江西农业大学、应用化学、学士</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eastAsiaTheme="minorEastAsia"/>
                <w:color w:val="000000"/>
                <w:kern w:val="2"/>
                <w:sz w:val="24"/>
                <w:szCs w:val="24"/>
                <w:lang w:val="en-US" w:eastAsia="zh-CN" w:bidi="ar-SA"/>
              </w:rPr>
            </w:pPr>
            <w:r>
              <w:rPr>
                <w:rFonts w:ascii="Times New Roman" w:hAnsi="Times New Roman" w:eastAsiaTheme="minorEastAsia"/>
                <w:color w:val="000000"/>
                <w:sz w:val="24"/>
                <w:szCs w:val="24"/>
              </w:rPr>
              <w:t>江西农业大学、生物化学与分子生物学、硕士</w:t>
            </w: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eastAsiaTheme="minorEastAsia"/>
                <w:kern w:val="2"/>
                <w:sz w:val="24"/>
                <w:szCs w:val="24"/>
                <w:lang w:val="en-US" w:eastAsia="zh-CN" w:bidi="ar-SA"/>
              </w:rPr>
            </w:pPr>
            <w:r>
              <w:rPr>
                <w:rFonts w:ascii="Times New Roman" w:hAnsi="Times New Roman" w:eastAsiaTheme="minorEastAsia"/>
                <w:color w:val="000000"/>
                <w:sz w:val="24"/>
                <w:szCs w:val="24"/>
              </w:rPr>
              <w:t>应用化学</w:t>
            </w:r>
            <w:r>
              <w:rPr>
                <w:rFonts w:hint="eastAsia" w:ascii="Times New Roman" w:hAnsi="Times New Roman" w:eastAsiaTheme="minorEastAsia"/>
                <w:color w:val="000000"/>
                <w:sz w:val="24"/>
                <w:szCs w:val="24"/>
                <w:lang w:eastAsia="zh-CN"/>
              </w:rPr>
              <w:t>、</w:t>
            </w:r>
            <w:r>
              <w:rPr>
                <w:rFonts w:ascii="Times New Roman" w:hAnsi="Times New Roman" w:eastAsiaTheme="minorEastAsia"/>
                <w:sz w:val="24"/>
                <w:szCs w:val="24"/>
              </w:rPr>
              <w:t>生物化学</w:t>
            </w:r>
          </w:p>
        </w:tc>
        <w:tc>
          <w:tcPr>
            <w:tcW w:w="957"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sz w:val="24"/>
                <w:szCs w:val="24"/>
              </w:rPr>
            </w:pPr>
            <w:r>
              <w:rPr>
                <w:rFonts w:hint="eastAsia" w:ascii="Times New Roman" w:hAnsi="Times New Roman"/>
                <w:sz w:val="24"/>
                <w:szCs w:val="24"/>
                <w:lang w:val="en-US" w:eastAsia="zh-CN"/>
              </w:rPr>
              <w:t>化工环保概论、煤化学、典型化工产品生产技术</w:t>
            </w:r>
          </w:p>
        </w:tc>
        <w:tc>
          <w:tcPr>
            <w:tcW w:w="1009"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sz w:val="24"/>
                <w:szCs w:val="24"/>
              </w:rPr>
            </w:pPr>
            <w:r>
              <w:rPr>
                <w:rFonts w:hint="eastAsia" w:asciiTheme="minorEastAsia" w:hAnsiTheme="minorEastAsia"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5"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sz w:val="24"/>
                <w:szCs w:val="24"/>
              </w:rPr>
            </w:pPr>
            <w:r>
              <w:rPr>
                <w:rFonts w:ascii="Times New Roman" w:hAnsi="Times New Roman"/>
                <w:sz w:val="24"/>
                <w:szCs w:val="24"/>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赵顺求</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女</w:t>
            </w:r>
          </w:p>
        </w:tc>
        <w:tc>
          <w:tcPr>
            <w:tcW w:w="5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52</w:t>
            </w:r>
          </w:p>
        </w:tc>
        <w:tc>
          <w:tcPr>
            <w:tcW w:w="104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Times New Roman" w:hAnsi="Times New Roman" w:eastAsia="宋体"/>
                <w:sz w:val="24"/>
                <w:szCs w:val="24"/>
                <w:lang w:val="en-US" w:eastAsia="zh-CN"/>
              </w:rPr>
            </w:pPr>
            <w:r>
              <w:rPr>
                <w:rFonts w:ascii="Times New Roman" w:hAnsi="Times New Roman" w:eastAsiaTheme="minorEastAsia"/>
                <w:color w:val="000000"/>
                <w:sz w:val="24"/>
                <w:szCs w:val="24"/>
              </w:rPr>
              <w:t>讲师</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武汉大学、分析化学、学士</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sz w:val="24"/>
                <w:szCs w:val="24"/>
              </w:rPr>
            </w:pPr>
            <w:r>
              <w:rPr>
                <w:rFonts w:hint="eastAsia" w:ascii="Times New Roman" w:hAnsi="Times New Roman"/>
                <w:sz w:val="24"/>
                <w:szCs w:val="24"/>
                <w:lang w:val="en-US" w:eastAsia="zh-CN"/>
              </w:rPr>
              <w:t>武汉大学、分析化学、学士</w:t>
            </w:r>
          </w:p>
        </w:tc>
        <w:tc>
          <w:tcPr>
            <w:tcW w:w="1150"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分析化学</w:t>
            </w:r>
          </w:p>
        </w:tc>
        <w:tc>
          <w:tcPr>
            <w:tcW w:w="957"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sz w:val="24"/>
                <w:szCs w:val="24"/>
              </w:rPr>
            </w:pPr>
            <w:r>
              <w:rPr>
                <w:rFonts w:hint="eastAsia" w:ascii="Times New Roman" w:hAnsi="Times New Roman"/>
                <w:sz w:val="24"/>
                <w:szCs w:val="24"/>
                <w:lang w:val="en-US" w:eastAsia="zh-CN"/>
              </w:rPr>
              <w:t>化工安全技术、化工设备使用与维护、化工产品分析检测</w:t>
            </w:r>
          </w:p>
        </w:tc>
        <w:tc>
          <w:tcPr>
            <w:tcW w:w="1009"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sz w:val="24"/>
                <w:szCs w:val="24"/>
              </w:rPr>
            </w:pPr>
            <w:r>
              <w:rPr>
                <w:rFonts w:hint="eastAsia" w:asciiTheme="minorEastAsia" w:hAnsiTheme="minorEastAsia"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6"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sz w:val="24"/>
                <w:szCs w:val="24"/>
              </w:rPr>
            </w:pPr>
            <w:r>
              <w:rPr>
                <w:rFonts w:ascii="Times New Roman" w:hAnsi="Times New Roman"/>
                <w:sz w:val="24"/>
                <w:szCs w:val="24"/>
              </w:rPr>
              <w:t>4</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胡华</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男</w:t>
            </w:r>
          </w:p>
        </w:tc>
        <w:tc>
          <w:tcPr>
            <w:tcW w:w="5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43</w:t>
            </w:r>
          </w:p>
        </w:tc>
        <w:tc>
          <w:tcPr>
            <w:tcW w:w="104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sz w:val="24"/>
                <w:szCs w:val="24"/>
              </w:rPr>
            </w:pPr>
            <w:r>
              <w:rPr>
                <w:rFonts w:ascii="Times New Roman" w:hAnsi="Times New Roman" w:eastAsiaTheme="minorEastAsia"/>
                <w:color w:val="000000"/>
                <w:sz w:val="24"/>
                <w:szCs w:val="24"/>
              </w:rPr>
              <w:t>讲师</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南昌大学、材料化学、学士</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sz w:val="24"/>
                <w:szCs w:val="24"/>
              </w:rPr>
            </w:pPr>
            <w:r>
              <w:rPr>
                <w:rFonts w:hint="eastAsia" w:ascii="Times New Roman" w:hAnsi="Times New Roman"/>
                <w:sz w:val="24"/>
                <w:szCs w:val="24"/>
                <w:lang w:val="en-US" w:eastAsia="zh-CN"/>
              </w:rPr>
              <w:t>南昌大学、材料化学、学士</w:t>
            </w:r>
          </w:p>
        </w:tc>
        <w:tc>
          <w:tcPr>
            <w:tcW w:w="1150"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sz w:val="24"/>
                <w:szCs w:val="24"/>
              </w:rPr>
            </w:pPr>
            <w:r>
              <w:rPr>
                <w:rFonts w:hint="eastAsia" w:ascii="Times New Roman" w:hAnsi="Times New Roman"/>
                <w:sz w:val="24"/>
                <w:szCs w:val="24"/>
                <w:lang w:val="en-US" w:eastAsia="zh-CN"/>
              </w:rPr>
              <w:t>材料化学</w:t>
            </w:r>
          </w:p>
        </w:tc>
        <w:tc>
          <w:tcPr>
            <w:tcW w:w="957"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eastAsia" w:ascii="Times New Roman" w:hAnsi="Times New Roman" w:eastAsia="宋体"/>
                <w:sz w:val="24"/>
                <w:szCs w:val="24"/>
                <w:lang w:eastAsia="zh-CN"/>
              </w:rPr>
            </w:pPr>
            <w:r>
              <w:rPr>
                <w:rFonts w:ascii="Times New Roman" w:hAnsi="Times New Roman"/>
                <w:sz w:val="24"/>
                <w:szCs w:val="24"/>
              </w:rPr>
              <w:t>化工安全防护及管理</w:t>
            </w:r>
            <w:r>
              <w:rPr>
                <w:rFonts w:hint="eastAsia" w:ascii="Times New Roman" w:hAnsi="Times New Roman"/>
                <w:sz w:val="24"/>
                <w:szCs w:val="24"/>
                <w:lang w:eastAsia="zh-CN"/>
              </w:rPr>
              <w:t>、</w:t>
            </w:r>
            <w:r>
              <w:rPr>
                <w:rFonts w:hint="eastAsia" w:ascii="Times New Roman" w:hAnsi="Times New Roman"/>
                <w:sz w:val="24"/>
                <w:szCs w:val="24"/>
                <w:lang w:val="en-US" w:eastAsia="zh-CN"/>
              </w:rPr>
              <w:t>化学反应过程及设备</w:t>
            </w:r>
          </w:p>
        </w:tc>
        <w:tc>
          <w:tcPr>
            <w:tcW w:w="1009"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sz w:val="24"/>
                <w:szCs w:val="24"/>
              </w:rPr>
            </w:pPr>
            <w:r>
              <w:rPr>
                <w:rFonts w:hint="eastAsia" w:asciiTheme="minorEastAsia" w:hAnsiTheme="minorEastAsia"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sz w:val="24"/>
                <w:szCs w:val="24"/>
              </w:rPr>
            </w:pPr>
            <w:r>
              <w:rPr>
                <w:rFonts w:ascii="Times New Roman" w:hAnsi="Times New Roman"/>
                <w:sz w:val="24"/>
                <w:szCs w:val="24"/>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文秋明</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男</w:t>
            </w:r>
          </w:p>
        </w:tc>
        <w:tc>
          <w:tcPr>
            <w:tcW w:w="5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42</w:t>
            </w:r>
          </w:p>
        </w:tc>
        <w:tc>
          <w:tcPr>
            <w:tcW w:w="104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sz w:val="24"/>
                <w:szCs w:val="24"/>
              </w:rPr>
            </w:pPr>
            <w:r>
              <w:rPr>
                <w:rFonts w:ascii="Times New Roman" w:hAnsi="Times New Roman" w:eastAsiaTheme="minorEastAsia"/>
                <w:color w:val="000000"/>
                <w:sz w:val="24"/>
                <w:szCs w:val="24"/>
              </w:rPr>
              <w:t>讲师</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sz w:val="24"/>
                <w:szCs w:val="24"/>
                <w:lang w:val="en-US"/>
              </w:rPr>
            </w:pPr>
            <w:r>
              <w:rPr>
                <w:rFonts w:hint="eastAsia" w:ascii="Times New Roman" w:hAnsi="Times New Roman"/>
                <w:sz w:val="24"/>
                <w:szCs w:val="24"/>
                <w:lang w:eastAsia="zh-CN"/>
              </w:rPr>
              <w:t>东北农业大学、</w:t>
            </w:r>
            <w:r>
              <w:rPr>
                <w:rFonts w:hint="eastAsia" w:ascii="Times New Roman" w:hAnsi="Times New Roman"/>
                <w:sz w:val="24"/>
                <w:szCs w:val="24"/>
                <w:lang w:val="en-US" w:eastAsia="zh-CN"/>
              </w:rPr>
              <w:t>药学、学士</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sz w:val="24"/>
                <w:szCs w:val="24"/>
              </w:rPr>
            </w:pPr>
            <w:r>
              <w:rPr>
                <w:rFonts w:hint="eastAsia" w:ascii="Times New Roman" w:hAnsi="Times New Roman"/>
                <w:sz w:val="24"/>
                <w:szCs w:val="24"/>
                <w:lang w:eastAsia="zh-CN"/>
              </w:rPr>
              <w:t>东北农业大学、</w:t>
            </w:r>
            <w:r>
              <w:rPr>
                <w:rFonts w:hint="eastAsia" w:ascii="Times New Roman" w:hAnsi="Times New Roman"/>
                <w:sz w:val="24"/>
                <w:szCs w:val="24"/>
                <w:lang w:val="en-US" w:eastAsia="zh-CN"/>
              </w:rPr>
              <w:t>药学、学士</w:t>
            </w:r>
          </w:p>
        </w:tc>
        <w:tc>
          <w:tcPr>
            <w:tcW w:w="1150"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基础化学</w:t>
            </w:r>
          </w:p>
        </w:tc>
        <w:tc>
          <w:tcPr>
            <w:tcW w:w="957"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eastAsia" w:ascii="Times New Roman" w:hAnsi="Times New Roman" w:eastAsia="宋体"/>
                <w:sz w:val="24"/>
                <w:szCs w:val="24"/>
                <w:lang w:eastAsia="zh-CN"/>
              </w:rPr>
            </w:pPr>
            <w:r>
              <w:rPr>
                <w:rFonts w:ascii="Times New Roman" w:hAnsi="Times New Roman"/>
                <w:sz w:val="24"/>
                <w:szCs w:val="24"/>
              </w:rPr>
              <w:t>无机化学</w:t>
            </w:r>
            <w:r>
              <w:rPr>
                <w:rFonts w:hint="eastAsia" w:ascii="Times New Roman" w:hAnsi="Times New Roman"/>
                <w:sz w:val="24"/>
                <w:szCs w:val="24"/>
                <w:lang w:eastAsia="zh-CN"/>
              </w:rPr>
              <w:t>、有机化学</w:t>
            </w:r>
          </w:p>
        </w:tc>
        <w:tc>
          <w:tcPr>
            <w:tcW w:w="1009"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sz w:val="24"/>
                <w:szCs w:val="24"/>
              </w:rPr>
            </w:pPr>
            <w:r>
              <w:rPr>
                <w:rFonts w:hint="eastAsia" w:asciiTheme="minorEastAsia" w:hAnsiTheme="minorEastAsia" w:eastAsiaTheme="minorEastAsia"/>
                <w:sz w:val="24"/>
                <w:szCs w:val="24"/>
              </w:rPr>
              <w:t>专职</w:t>
            </w:r>
          </w:p>
        </w:tc>
      </w:tr>
    </w:tbl>
    <w:p>
      <w:pPr>
        <w:spacing w:afterLines="50" w:line="580" w:lineRule="exact"/>
        <w:jc w:val="center"/>
        <w:rPr>
          <w:rFonts w:ascii="方正小标宋简体" w:hAnsi="华文楷体" w:eastAsia="方正小标宋简体"/>
          <w:sz w:val="32"/>
          <w:szCs w:val="32"/>
        </w:rPr>
      </w:pPr>
      <w:r>
        <w:rPr>
          <w:rFonts w:hint="eastAsia" w:ascii="方正小标宋简体" w:hAnsi="华文楷体" w:eastAsia="方正小标宋简体"/>
          <w:sz w:val="32"/>
          <w:szCs w:val="32"/>
        </w:rPr>
        <w:t>6.增设专业计划开设的主要课程</w:t>
      </w:r>
    </w:p>
    <w:tbl>
      <w:tblPr>
        <w:tblStyle w:val="13"/>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9"/>
        <w:gridCol w:w="2980"/>
        <w:gridCol w:w="1081"/>
        <w:gridCol w:w="1118"/>
        <w:gridCol w:w="1968"/>
        <w:gridCol w:w="1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sz w:val="24"/>
                <w:szCs w:val="24"/>
              </w:rPr>
              <w:t>序号</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sz w:val="24"/>
                <w:szCs w:val="24"/>
              </w:rPr>
              <w:t>课程名称</w:t>
            </w: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sz w:val="24"/>
                <w:szCs w:val="24"/>
              </w:rPr>
              <w:t>课程</w:t>
            </w:r>
          </w:p>
          <w:p>
            <w:pPr>
              <w:spacing w:line="320" w:lineRule="exact"/>
              <w:jc w:val="center"/>
              <w:rPr>
                <w:sz w:val="24"/>
                <w:szCs w:val="24"/>
              </w:rPr>
            </w:pPr>
            <w:r>
              <w:rPr>
                <w:rFonts w:hint="eastAsia"/>
                <w:sz w:val="24"/>
                <w:szCs w:val="24"/>
              </w:rPr>
              <w:t>总学时</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sz w:val="24"/>
                <w:szCs w:val="24"/>
              </w:rPr>
              <w:t>课程</w:t>
            </w:r>
          </w:p>
          <w:p>
            <w:pPr>
              <w:spacing w:line="320" w:lineRule="exact"/>
              <w:jc w:val="center"/>
              <w:rPr>
                <w:sz w:val="24"/>
                <w:szCs w:val="24"/>
              </w:rPr>
            </w:pPr>
            <w:r>
              <w:rPr>
                <w:rFonts w:hint="eastAsia"/>
                <w:sz w:val="24"/>
                <w:szCs w:val="24"/>
              </w:rPr>
              <w:t>周学时</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sz w:val="24"/>
                <w:szCs w:val="24"/>
              </w:rPr>
              <w:t>授课教师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sz w:val="24"/>
                <w:szCs w:val="24"/>
              </w:rPr>
              <w:t>授课</w:t>
            </w:r>
          </w:p>
          <w:p>
            <w:pPr>
              <w:spacing w:line="320" w:lineRule="exact"/>
              <w:jc w:val="center"/>
              <w:rPr>
                <w:sz w:val="24"/>
                <w:szCs w:val="24"/>
              </w:rPr>
            </w:pPr>
            <w:r>
              <w:rPr>
                <w:rFonts w:hint="eastAsia"/>
                <w:sz w:val="24"/>
                <w:szCs w:val="24"/>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1</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rPr>
              <w:t>无机化学</w:t>
            </w: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sz w:val="24"/>
                <w:szCs w:val="24"/>
                <w:lang w:val="en-US" w:eastAsia="zh-CN"/>
              </w:rPr>
            </w:pPr>
            <w:r>
              <w:rPr>
                <w:rFonts w:hint="eastAsia"/>
                <w:sz w:val="24"/>
                <w:szCs w:val="24"/>
                <w:lang w:val="en-US" w:eastAsia="zh-CN"/>
              </w:rPr>
              <w:t>54</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3</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sz w:val="24"/>
                <w:szCs w:val="24"/>
                <w:lang w:val="en-US" w:eastAsia="zh-CN"/>
              </w:rPr>
            </w:pPr>
            <w:r>
              <w:rPr>
                <w:rFonts w:hint="eastAsia"/>
                <w:sz w:val="24"/>
                <w:szCs w:val="24"/>
                <w:lang w:val="en-US" w:eastAsia="zh-CN"/>
              </w:rPr>
              <w:t>文秋明</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2</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rPr>
              <w:t>有机化学</w:t>
            </w: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54</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3</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rPr>
            </w:pPr>
            <w:r>
              <w:rPr>
                <w:rFonts w:hint="eastAsia"/>
                <w:sz w:val="24"/>
                <w:szCs w:val="24"/>
                <w:lang w:val="en-US" w:eastAsia="zh-CN"/>
              </w:rPr>
              <w:t>文秋明</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3</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rPr>
              <w:t>化工安全防护及管理</w:t>
            </w: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54</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3</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rPr>
            </w:pPr>
            <w:r>
              <w:rPr>
                <w:rFonts w:hint="eastAsia"/>
                <w:sz w:val="24"/>
                <w:szCs w:val="24"/>
                <w:lang w:val="en-US" w:eastAsia="zh-CN"/>
              </w:rPr>
              <w:t>胡华</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4</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rPr>
              <w:t>化工识图与绘图</w:t>
            </w: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54</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3</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rPr>
            </w:pPr>
            <w:r>
              <w:rPr>
                <w:rFonts w:hint="eastAsia"/>
                <w:sz w:val="24"/>
                <w:szCs w:val="24"/>
              </w:rPr>
              <w:t>杨立强</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5</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rPr>
              <w:t>典型化工单元设备操作与控制</w:t>
            </w: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54</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3</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rPr>
            </w:pPr>
            <w:r>
              <w:rPr>
                <w:rFonts w:hint="eastAsia"/>
                <w:sz w:val="24"/>
                <w:szCs w:val="24"/>
              </w:rPr>
              <w:t>杨立强</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6</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化工环保概论</w:t>
            </w: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sz w:val="24"/>
                <w:szCs w:val="24"/>
                <w:lang w:val="en-US" w:eastAsia="zh-CN"/>
              </w:rPr>
            </w:pPr>
            <w:r>
              <w:rPr>
                <w:rFonts w:hint="eastAsia"/>
                <w:sz w:val="24"/>
                <w:szCs w:val="24"/>
                <w:lang w:val="en-US" w:eastAsia="zh-CN"/>
              </w:rPr>
              <w:t>36</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2</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rPr>
            </w:pPr>
            <w:r>
              <w:rPr>
                <w:rFonts w:hint="eastAsia"/>
                <w:sz w:val="24"/>
                <w:szCs w:val="24"/>
              </w:rPr>
              <w:t>范紫权</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7</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化工安全技术</w:t>
            </w: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sz w:val="24"/>
                <w:szCs w:val="24"/>
                <w:lang w:val="en-US" w:eastAsia="zh-CN"/>
              </w:rPr>
            </w:pPr>
            <w:r>
              <w:rPr>
                <w:rFonts w:hint="eastAsia"/>
                <w:sz w:val="24"/>
                <w:szCs w:val="24"/>
                <w:lang w:val="en-US" w:eastAsia="zh-CN"/>
              </w:rPr>
              <w:t>72</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4</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rPr>
            </w:pPr>
            <w:r>
              <w:rPr>
                <w:rFonts w:hint="eastAsia"/>
                <w:sz w:val="24"/>
                <w:szCs w:val="24"/>
                <w:lang w:val="en-US" w:eastAsia="zh-CN"/>
              </w:rPr>
              <w:t>赵顺求</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8</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化工设备使用与维护</w:t>
            </w: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72</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4</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rPr>
            </w:pPr>
            <w:r>
              <w:rPr>
                <w:rFonts w:hint="eastAsia"/>
                <w:sz w:val="24"/>
                <w:szCs w:val="24"/>
                <w:lang w:val="en-US" w:eastAsia="zh-CN"/>
              </w:rPr>
              <w:t>赵顺求</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9</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化学反应过程及设备</w:t>
            </w: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72</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4</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rPr>
            </w:pPr>
            <w:r>
              <w:rPr>
                <w:rFonts w:hint="eastAsia"/>
                <w:sz w:val="24"/>
                <w:szCs w:val="24"/>
                <w:lang w:val="en-US" w:eastAsia="zh-CN"/>
              </w:rPr>
              <w:t>胡华</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10</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典型化工产品生产技术</w:t>
            </w: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72</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4</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rPr>
            </w:pPr>
            <w:r>
              <w:rPr>
                <w:rFonts w:hint="eastAsia"/>
                <w:sz w:val="24"/>
                <w:szCs w:val="24"/>
              </w:rPr>
              <w:t>范紫权</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11</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化工产品分析检测</w:t>
            </w: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72</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4</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rPr>
            </w:pPr>
            <w:r>
              <w:rPr>
                <w:rFonts w:hint="eastAsia"/>
                <w:sz w:val="24"/>
                <w:szCs w:val="24"/>
                <w:lang w:val="en-US" w:eastAsia="zh-CN"/>
              </w:rPr>
              <w:t>赵顺求</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12</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煤化学</w:t>
            </w: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sz w:val="24"/>
                <w:szCs w:val="24"/>
                <w:lang w:val="en-US" w:eastAsia="zh-CN"/>
              </w:rPr>
            </w:pPr>
            <w:r>
              <w:rPr>
                <w:rFonts w:hint="eastAsia"/>
                <w:sz w:val="24"/>
                <w:szCs w:val="24"/>
                <w:lang w:val="en-US" w:eastAsia="zh-CN"/>
              </w:rPr>
              <w:t>36</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2</w:t>
            </w:r>
          </w:p>
        </w:tc>
        <w:tc>
          <w:tcPr>
            <w:tcW w:w="19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rPr>
              <w:t>范紫权</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sz w:val="24"/>
                <w:szCs w:val="24"/>
                <w:lang w:val="en-US" w:eastAsia="zh-CN"/>
              </w:rPr>
            </w:pPr>
            <w:r>
              <w:rPr>
                <w:rFonts w:hint="eastAsia"/>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13</w:t>
            </w:r>
          </w:p>
        </w:tc>
        <w:tc>
          <w:tcPr>
            <w:tcW w:w="29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color w:val="000000" w:themeColor="text1"/>
                <w:kern w:val="0"/>
                <w:sz w:val="20"/>
                <w:szCs w:val="20"/>
                <w:lang w:val="en-US" w:eastAsia="zh-CN" w:bidi="ar-SA"/>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eastAsia="宋体"/>
                <w:sz w:val="24"/>
                <w:szCs w:val="24"/>
                <w:lang w:val="en-US" w:eastAsia="zh-CN"/>
              </w:rPr>
            </w:pPr>
          </w:p>
        </w:tc>
        <w:tc>
          <w:tcPr>
            <w:tcW w:w="1968"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themeColor="text1"/>
                <w:kern w:val="0"/>
                <w:sz w:val="20"/>
                <w:szCs w:val="20"/>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14</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968"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c>
          <w:tcPr>
            <w:tcW w:w="1092"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15</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968"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c>
          <w:tcPr>
            <w:tcW w:w="1092"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16</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968"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c>
          <w:tcPr>
            <w:tcW w:w="1092"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17</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968"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c>
          <w:tcPr>
            <w:tcW w:w="1092"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18</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968"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c>
          <w:tcPr>
            <w:tcW w:w="1092"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19</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968"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c>
          <w:tcPr>
            <w:tcW w:w="1092"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sz w:val="24"/>
                <w:szCs w:val="24"/>
              </w:rPr>
              <w:t>20</w:t>
            </w:r>
          </w:p>
        </w:tc>
        <w:tc>
          <w:tcPr>
            <w:tcW w:w="29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p>
        </w:tc>
        <w:tc>
          <w:tcPr>
            <w:tcW w:w="1968"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c>
          <w:tcPr>
            <w:tcW w:w="1092" w:type="dxa"/>
            <w:tcBorders>
              <w:top w:val="single" w:color="000000" w:sz="4" w:space="0"/>
              <w:left w:val="single" w:color="000000" w:sz="4" w:space="0"/>
              <w:bottom w:val="single" w:color="000000" w:sz="4" w:space="0"/>
              <w:right w:val="single" w:color="000000" w:sz="4" w:space="0"/>
            </w:tcBorders>
          </w:tcPr>
          <w:p>
            <w:pPr>
              <w:spacing w:line="320" w:lineRule="exact"/>
              <w:jc w:val="center"/>
              <w:rPr>
                <w:sz w:val="24"/>
                <w:szCs w:val="24"/>
              </w:rPr>
            </w:pPr>
          </w:p>
        </w:tc>
      </w:tr>
    </w:tbl>
    <w:p>
      <w:pPr>
        <w:spacing w:line="580" w:lineRule="exact"/>
        <w:rPr>
          <w:szCs w:val="24"/>
        </w:rPr>
      </w:pPr>
    </w:p>
    <w:p>
      <w:pPr>
        <w:spacing w:afterLines="50" w:line="580" w:lineRule="exact"/>
        <w:jc w:val="center"/>
        <w:rPr>
          <w:rFonts w:ascii="方正小标宋简体" w:eastAsia="方正小标宋简体"/>
          <w:bCs/>
          <w:sz w:val="32"/>
          <w:szCs w:val="32"/>
        </w:rPr>
      </w:pPr>
      <w:r>
        <w:rPr>
          <w:rFonts w:hint="eastAsia" w:ascii="方正小标宋简体" w:eastAsia="方正小标宋简体"/>
          <w:bCs/>
          <w:sz w:val="32"/>
          <w:szCs w:val="32"/>
        </w:rPr>
        <w:t>7.增设专业基本办学条件</w:t>
      </w:r>
    </w:p>
    <w:tbl>
      <w:tblPr>
        <w:tblStyle w:val="1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73"/>
        <w:gridCol w:w="900"/>
        <w:gridCol w:w="895"/>
        <w:gridCol w:w="1857"/>
        <w:gridCol w:w="165"/>
        <w:gridCol w:w="497"/>
        <w:gridCol w:w="1080"/>
        <w:gridCol w:w="696"/>
        <w:gridCol w:w="544"/>
        <w:gridCol w:w="65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专业名称</w:t>
            </w:r>
          </w:p>
        </w:tc>
        <w:tc>
          <w:tcPr>
            <w:tcW w:w="431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lang w:val="en-US" w:eastAsia="zh-CN"/>
              </w:rPr>
              <w:t>应用化工技术</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4"/>
              </w:rPr>
            </w:pPr>
            <w:r>
              <w:rPr>
                <w:rFonts w:hint="eastAsia"/>
                <w:szCs w:val="24"/>
              </w:rPr>
              <w:t>开办经费</w:t>
            </w:r>
          </w:p>
        </w:tc>
        <w:tc>
          <w:tcPr>
            <w:tcW w:w="239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p>
          <w:p>
            <w:pPr>
              <w:spacing w:line="3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szCs w:val="24"/>
              </w:rPr>
            </w:pPr>
            <w:r>
              <w:rPr>
                <w:rFonts w:hint="eastAsia"/>
                <w:szCs w:val="24"/>
              </w:rPr>
              <w:t>申报专业副高及以上职称（在岗）人数</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lang w:val="en-US" w:eastAsia="zh-CN"/>
              </w:rPr>
              <w:t>1</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其中该专业</w:t>
            </w:r>
          </w:p>
          <w:p>
            <w:pPr>
              <w:spacing w:line="320" w:lineRule="exact"/>
              <w:jc w:val="center"/>
              <w:rPr>
                <w:szCs w:val="24"/>
              </w:rPr>
            </w:pPr>
            <w:r>
              <w:rPr>
                <w:rFonts w:hint="eastAsia"/>
                <w:szCs w:val="24"/>
              </w:rPr>
              <w:t>专职在岗人数</w:t>
            </w:r>
          </w:p>
        </w:tc>
        <w:tc>
          <w:tcPr>
            <w:tcW w:w="66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宋体"/>
                <w:szCs w:val="24"/>
                <w:lang w:val="en-US" w:eastAsia="zh-CN"/>
              </w:rPr>
            </w:pPr>
            <w:r>
              <w:rPr>
                <w:rFonts w:hint="eastAsia"/>
                <w:szCs w:val="24"/>
                <w:lang w:val="en-US" w:eastAsia="zh-CN"/>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其中校内</w:t>
            </w:r>
          </w:p>
          <w:p>
            <w:pPr>
              <w:spacing w:line="320" w:lineRule="exact"/>
              <w:jc w:val="center"/>
              <w:rPr>
                <w:szCs w:val="24"/>
              </w:rPr>
            </w:pPr>
            <w:r>
              <w:rPr>
                <w:rFonts w:hint="eastAsia"/>
                <w:szCs w:val="24"/>
              </w:rPr>
              <w:t>兼职人数</w:t>
            </w: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宋体"/>
                <w:szCs w:val="24"/>
                <w:lang w:val="en-US" w:eastAsia="zh-CN"/>
              </w:rPr>
            </w:pPr>
            <w:r>
              <w:rPr>
                <w:rFonts w:hint="eastAsia"/>
                <w:szCs w:val="24"/>
                <w:lang w:val="en-US" w:eastAsia="zh-CN"/>
              </w:rPr>
              <w:t>5</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其中校外兼职人数</w:t>
            </w:r>
          </w:p>
        </w:tc>
        <w:tc>
          <w:tcPr>
            <w:tcW w:w="5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宋体"/>
                <w:szCs w:val="24"/>
                <w:lang w:val="en-US" w:eastAsia="zh-CN"/>
              </w:rPr>
            </w:pPr>
            <w:r>
              <w:rPr>
                <w:rFonts w:hint="eastAsia"/>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88" w:type="dxa"/>
            <w:gridSpan w:val="3"/>
            <w:tcBorders>
              <w:top w:val="single" w:color="auto" w:sz="4" w:space="0"/>
              <w:left w:val="single" w:color="auto" w:sz="4" w:space="0"/>
              <w:bottom w:val="double" w:color="auto" w:sz="4" w:space="0"/>
              <w:right w:val="single" w:color="auto" w:sz="4" w:space="0"/>
            </w:tcBorders>
            <w:vAlign w:val="center"/>
          </w:tcPr>
          <w:p>
            <w:pPr>
              <w:spacing w:line="320" w:lineRule="exact"/>
              <w:jc w:val="center"/>
              <w:rPr>
                <w:szCs w:val="24"/>
              </w:rPr>
            </w:pPr>
            <w:r>
              <w:rPr>
                <w:rFonts w:hint="eastAsia"/>
                <w:szCs w:val="24"/>
              </w:rPr>
              <w:t>可用于新专业的</w:t>
            </w:r>
          </w:p>
          <w:p>
            <w:pPr>
              <w:spacing w:line="320" w:lineRule="exact"/>
              <w:jc w:val="center"/>
              <w:rPr>
                <w:szCs w:val="24"/>
              </w:rPr>
            </w:pPr>
            <w:r>
              <w:rPr>
                <w:rFonts w:hint="eastAsia"/>
                <w:szCs w:val="24"/>
              </w:rPr>
              <w:t>教学图书（万册）</w:t>
            </w:r>
          </w:p>
        </w:tc>
        <w:tc>
          <w:tcPr>
            <w:tcW w:w="895" w:type="dxa"/>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hint="default" w:eastAsia="宋体"/>
                <w:szCs w:val="24"/>
                <w:lang w:val="en-US" w:eastAsia="zh-CN"/>
              </w:rPr>
            </w:pPr>
            <w:r>
              <w:rPr>
                <w:rFonts w:hint="eastAsia"/>
                <w:szCs w:val="24"/>
                <w:lang w:val="en-US" w:eastAsia="zh-CN"/>
              </w:rPr>
              <w:t>0.8</w:t>
            </w:r>
          </w:p>
        </w:tc>
        <w:tc>
          <w:tcPr>
            <w:tcW w:w="2022"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szCs w:val="24"/>
              </w:rPr>
            </w:pPr>
            <w:r>
              <w:rPr>
                <w:rFonts w:hint="eastAsia"/>
                <w:szCs w:val="24"/>
              </w:rPr>
              <w:t>可用于该专业的</w:t>
            </w:r>
          </w:p>
          <w:p>
            <w:pPr>
              <w:spacing w:line="320" w:lineRule="exact"/>
              <w:jc w:val="center"/>
              <w:rPr>
                <w:szCs w:val="24"/>
              </w:rPr>
            </w:pPr>
            <w:r>
              <w:rPr>
                <w:rFonts w:hint="eastAsia"/>
                <w:szCs w:val="24"/>
              </w:rPr>
              <w:t>教学实验设备</w:t>
            </w:r>
          </w:p>
          <w:p>
            <w:pPr>
              <w:spacing w:line="320" w:lineRule="exact"/>
              <w:jc w:val="center"/>
              <w:rPr>
                <w:szCs w:val="24"/>
              </w:rPr>
            </w:pPr>
            <w:r>
              <w:rPr>
                <w:rFonts w:hint="eastAsia"/>
                <w:szCs w:val="24"/>
              </w:rPr>
              <w:t>（千元以上）</w:t>
            </w:r>
          </w:p>
        </w:tc>
        <w:tc>
          <w:tcPr>
            <w:tcW w:w="1577"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sz w:val="18"/>
                <w:szCs w:val="24"/>
              </w:rPr>
            </w:pPr>
            <w:r>
              <w:rPr>
                <w:rFonts w:hint="eastAsia"/>
                <w:sz w:val="18"/>
                <w:szCs w:val="24"/>
              </w:rPr>
              <w:t>3492（台</w:t>
            </w:r>
            <w:r>
              <w:rPr>
                <w:sz w:val="18"/>
                <w:szCs w:val="24"/>
              </w:rPr>
              <w:t>/</w:t>
            </w:r>
            <w:r>
              <w:rPr>
                <w:rFonts w:hint="eastAsia"/>
                <w:sz w:val="18"/>
                <w:szCs w:val="24"/>
              </w:rPr>
              <w:t>件）</w:t>
            </w:r>
          </w:p>
        </w:tc>
        <w:tc>
          <w:tcPr>
            <w:tcW w:w="1240"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szCs w:val="24"/>
              </w:rPr>
            </w:pPr>
            <w:r>
              <w:rPr>
                <w:rFonts w:hint="eastAsia"/>
                <w:szCs w:val="24"/>
              </w:rPr>
              <w:t>总价值</w:t>
            </w:r>
          </w:p>
          <w:p>
            <w:pPr>
              <w:spacing w:line="320" w:lineRule="exact"/>
              <w:jc w:val="center"/>
              <w:rPr>
                <w:szCs w:val="24"/>
              </w:rPr>
            </w:pPr>
            <w:r>
              <w:rPr>
                <w:rFonts w:hint="eastAsia"/>
                <w:szCs w:val="24"/>
              </w:rPr>
              <w:t>（万元）</w:t>
            </w:r>
          </w:p>
        </w:tc>
        <w:tc>
          <w:tcPr>
            <w:tcW w:w="1157"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szCs w:val="24"/>
              </w:rPr>
            </w:pPr>
            <w:r>
              <w:rPr>
                <w:rFonts w:hint="eastAsia"/>
                <w:szCs w:val="24"/>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序</w:t>
            </w:r>
          </w:p>
          <w:p>
            <w:pPr>
              <w:spacing w:line="320" w:lineRule="exact"/>
              <w:jc w:val="center"/>
              <w:rPr>
                <w:szCs w:val="24"/>
              </w:rPr>
            </w:pPr>
            <w:r>
              <w:rPr>
                <w:rFonts w:hint="eastAsia"/>
                <w:szCs w:val="24"/>
              </w:rPr>
              <w:t>号</w:t>
            </w:r>
          </w:p>
        </w:tc>
        <w:tc>
          <w:tcPr>
            <w:tcW w:w="4390" w:type="dxa"/>
            <w:gridSpan w:val="5"/>
            <w:tcBorders>
              <w:top w:val="doub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主要教学设备名称（限</w:t>
            </w:r>
            <w:r>
              <w:rPr>
                <w:szCs w:val="24"/>
              </w:rPr>
              <w:t>20</w:t>
            </w:r>
            <w:r>
              <w:rPr>
                <w:rFonts w:hint="eastAsia"/>
                <w:szCs w:val="24"/>
              </w:rPr>
              <w:t>项）</w:t>
            </w:r>
          </w:p>
        </w:tc>
        <w:tc>
          <w:tcPr>
            <w:tcW w:w="1577" w:type="dxa"/>
            <w:gridSpan w:val="2"/>
            <w:tcBorders>
              <w:top w:val="doub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型号</w:t>
            </w:r>
          </w:p>
          <w:p>
            <w:pPr>
              <w:spacing w:line="320" w:lineRule="exact"/>
              <w:jc w:val="center"/>
              <w:rPr>
                <w:szCs w:val="24"/>
              </w:rPr>
            </w:pPr>
            <w:r>
              <w:rPr>
                <w:rFonts w:hint="eastAsia"/>
                <w:szCs w:val="24"/>
              </w:rPr>
              <w:t>规格</w:t>
            </w:r>
          </w:p>
        </w:tc>
        <w:tc>
          <w:tcPr>
            <w:tcW w:w="696"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sz w:val="18"/>
                <w:szCs w:val="24"/>
              </w:rPr>
            </w:pPr>
            <w:r>
              <w:rPr>
                <w:rFonts w:hint="eastAsia"/>
                <w:sz w:val="18"/>
                <w:szCs w:val="24"/>
              </w:rPr>
              <w:t>台</w:t>
            </w:r>
            <w:r>
              <w:rPr>
                <w:sz w:val="18"/>
                <w:szCs w:val="24"/>
              </w:rPr>
              <w:t>(</w:t>
            </w:r>
            <w:r>
              <w:rPr>
                <w:rFonts w:hint="eastAsia"/>
                <w:sz w:val="18"/>
                <w:szCs w:val="24"/>
              </w:rPr>
              <w:t>件</w:t>
            </w:r>
            <w:r>
              <w:rPr>
                <w:sz w:val="18"/>
                <w:szCs w:val="24"/>
              </w:rPr>
              <w:t>)</w:t>
            </w:r>
          </w:p>
        </w:tc>
        <w:tc>
          <w:tcPr>
            <w:tcW w:w="1701" w:type="dxa"/>
            <w:gridSpan w:val="3"/>
            <w:tcBorders>
              <w:top w:val="doub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购入时间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1</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电脑</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联想</w:t>
            </w:r>
            <w:r>
              <w:rPr>
                <w:rFonts w:hint="eastAsia" w:ascii="宋体" w:hAnsi="宋体"/>
                <w:color w:val="000000"/>
                <w:szCs w:val="24"/>
              </w:rPr>
              <w:t>、</w:t>
            </w:r>
            <w:r>
              <w:rPr>
                <w:rFonts w:hint="eastAsia"/>
                <w:color w:val="000000"/>
                <w:szCs w:val="24"/>
              </w:rPr>
              <w:t>惠普</w:t>
            </w:r>
            <w:r>
              <w:rPr>
                <w:rFonts w:hint="eastAsia" w:ascii="宋体" w:hAnsi="宋体"/>
                <w:color w:val="000000"/>
                <w:szCs w:val="24"/>
              </w:rPr>
              <w:t>、</w:t>
            </w:r>
            <w:r>
              <w:rPr>
                <w:rFonts w:hint="eastAsia"/>
                <w:color w:val="000000"/>
                <w:szCs w:val="24"/>
              </w:rPr>
              <w:t>华硕</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2508</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2</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投影机</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color w:val="000000"/>
                <w:szCs w:val="24"/>
              </w:rPr>
              <w:t>HITACHIHCP-380</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111</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3</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摄像机</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DH-IPC-HD</w:t>
            </w:r>
            <w:r>
              <w:rPr>
                <w:rFonts w:hint="eastAsia" w:ascii="宋体" w:hAnsi="宋体"/>
                <w:color w:val="000000"/>
                <w:sz w:val="22"/>
              </w:rPr>
              <w:t>、HF</w:t>
            </w:r>
          </w:p>
          <w:p>
            <w:pPr>
              <w:jc w:val="center"/>
              <w:rPr>
                <w:rFonts w:ascii="宋体" w:hAnsi="宋体" w:cs="宋体"/>
                <w:color w:val="000000"/>
                <w:sz w:val="22"/>
              </w:rPr>
            </w:pPr>
            <w:r>
              <w:rPr>
                <w:rFonts w:hint="eastAsia"/>
                <w:color w:val="000000"/>
                <w:sz w:val="22"/>
              </w:rPr>
              <w:t>DH-IPC-HF</w:t>
            </w:r>
          </w:p>
          <w:p>
            <w:pPr>
              <w:jc w:val="center"/>
              <w:rPr>
                <w:rFonts w:ascii="宋体" w:hAnsi="宋体" w:cs="宋体"/>
                <w:color w:val="000000"/>
                <w:sz w:val="22"/>
              </w:rPr>
            </w:pPr>
          </w:p>
          <w:p>
            <w:pPr>
              <w:jc w:val="center"/>
              <w:rPr>
                <w:rFonts w:ascii="宋体" w:hAnsi="宋体" w:cs="宋体"/>
                <w:color w:val="000000"/>
                <w:sz w:val="22"/>
              </w:rPr>
            </w:pPr>
            <w:r>
              <w:rPr>
                <w:rFonts w:hint="eastAsia"/>
                <w:color w:val="000000"/>
                <w:sz w:val="22"/>
              </w:rPr>
              <w:t>DH-IPC-HF</w:t>
            </w:r>
          </w:p>
          <w:p>
            <w:pPr>
              <w:jc w:val="center"/>
              <w:rPr>
                <w:rFonts w:ascii="宋体" w:hAnsi="宋体" w:cs="宋体"/>
                <w:color w:val="000000"/>
                <w:sz w:val="22"/>
              </w:rPr>
            </w:pPr>
          </w:p>
          <w:p>
            <w:pPr>
              <w:jc w:val="center"/>
              <w:rPr>
                <w:rFonts w:ascii="宋体" w:hAnsi="宋体" w:cs="宋体"/>
                <w:color w:val="000000"/>
                <w:sz w:val="22"/>
              </w:rPr>
            </w:pPr>
            <w:r>
              <w:rPr>
                <w:rFonts w:hint="eastAsia"/>
                <w:color w:val="000000"/>
                <w:sz w:val="22"/>
              </w:rPr>
              <w:t>DH-IPC-HF</w:t>
            </w:r>
          </w:p>
          <w:p>
            <w:pPr>
              <w:jc w:val="center"/>
              <w:rPr>
                <w:rFonts w:ascii="宋体" w:hAnsi="宋体" w:cs="宋体"/>
                <w:color w:val="000000"/>
                <w:sz w:val="22"/>
              </w:rPr>
            </w:pPr>
          </w:p>
          <w:p>
            <w:pPr>
              <w:jc w:val="center"/>
              <w:rPr>
                <w:rFonts w:ascii="宋体" w:hAnsi="宋体" w:cs="宋体"/>
                <w:color w:val="000000"/>
                <w:sz w:val="22"/>
              </w:rPr>
            </w:pPr>
            <w:r>
              <w:rPr>
                <w:rFonts w:hint="eastAsia"/>
                <w:color w:val="000000"/>
                <w:sz w:val="22"/>
              </w:rPr>
              <w:t>DH-IPC-HF</w:t>
            </w:r>
          </w:p>
          <w:p>
            <w:pPr>
              <w:jc w:val="center"/>
              <w:rPr>
                <w:rFonts w:ascii="宋体" w:hAnsi="宋体" w:cs="宋体"/>
                <w:color w:val="000000"/>
                <w:sz w:val="22"/>
              </w:rPr>
            </w:pPr>
          </w:p>
          <w:p>
            <w:pPr>
              <w:jc w:val="center"/>
              <w:rPr>
                <w:rFonts w:ascii="Calibri" w:hAnsi="Calibri" w:eastAsia="宋体" w:cs="Times New Roman"/>
                <w:color w:val="000000"/>
                <w:kern w:val="2"/>
                <w:sz w:val="21"/>
                <w:szCs w:val="24"/>
                <w:lang w:val="en-US" w:eastAsia="zh-CN" w:bidi="ar-SA"/>
              </w:rPr>
            </w:pPr>
            <w:r>
              <w:rPr>
                <w:rFonts w:hint="eastAsia" w:ascii="宋体" w:hAnsi="宋体"/>
                <w:color w:val="000000"/>
                <w:szCs w:val="24"/>
              </w:rPr>
              <w:t>、</w:t>
            </w:r>
            <w:r>
              <w:rPr>
                <w:rFonts w:hint="eastAsia"/>
                <w:color w:val="000000"/>
                <w:szCs w:val="24"/>
              </w:rPr>
              <w:t>*</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186</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2013-2014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4</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服务器</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LBD415W-43432</w:t>
            </w:r>
            <w:r>
              <w:rPr>
                <w:rFonts w:hint="eastAsia" w:ascii="宋体" w:hAnsi="宋体"/>
                <w:color w:val="000000"/>
                <w:sz w:val="22"/>
              </w:rPr>
              <w:t>、</w:t>
            </w:r>
            <w:r>
              <w:rPr>
                <w:rFonts w:ascii="宋体" w:hAnsi="宋体"/>
                <w:color w:val="000000"/>
                <w:sz w:val="22"/>
              </w:rPr>
              <w:t>DS200-N10</w:t>
            </w:r>
          </w:p>
          <w:p>
            <w:pPr>
              <w:jc w:val="center"/>
              <w:rPr>
                <w:rFonts w:ascii="宋体" w:hAnsi="宋体" w:cs="宋体"/>
                <w:color w:val="000000"/>
                <w:sz w:val="22"/>
              </w:rPr>
            </w:pPr>
            <w:r>
              <w:rPr>
                <w:rFonts w:hint="eastAsia"/>
                <w:color w:val="000000"/>
                <w:sz w:val="22"/>
              </w:rPr>
              <w:t>DS200-N10</w:t>
            </w:r>
          </w:p>
          <w:p>
            <w:pPr>
              <w:jc w:val="center"/>
              <w:rPr>
                <w:rFonts w:ascii="宋体" w:hAnsi="宋体" w:cs="宋体"/>
                <w:color w:val="000000"/>
                <w:sz w:val="22"/>
              </w:rPr>
            </w:pPr>
          </w:p>
          <w:p>
            <w:pPr>
              <w:jc w:val="center"/>
              <w:rPr>
                <w:rFonts w:ascii="宋体" w:hAnsi="宋体" w:cs="宋体"/>
                <w:color w:val="000000"/>
                <w:sz w:val="22"/>
              </w:rPr>
            </w:pPr>
            <w:r>
              <w:rPr>
                <w:rFonts w:hint="eastAsia"/>
                <w:color w:val="000000"/>
                <w:sz w:val="22"/>
              </w:rPr>
              <w:t>DS200-N10</w:t>
            </w:r>
          </w:p>
          <w:p>
            <w:pPr>
              <w:jc w:val="center"/>
              <w:rPr>
                <w:rFonts w:ascii="宋体" w:hAnsi="宋体" w:cs="宋体"/>
                <w:color w:val="000000"/>
                <w:sz w:val="22"/>
              </w:rPr>
            </w:pPr>
          </w:p>
          <w:p>
            <w:pPr>
              <w:jc w:val="center"/>
              <w:rPr>
                <w:rFonts w:ascii="Calibri" w:hAnsi="Calibri" w:eastAsia="宋体" w:cs="Times New Roman"/>
                <w:color w:val="000000"/>
                <w:kern w:val="2"/>
                <w:sz w:val="21"/>
                <w:szCs w:val="24"/>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24</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5</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空调</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格力，美的</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52</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2014-2019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6</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交换机</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H3C</w:t>
            </w:r>
            <w:r>
              <w:rPr>
                <w:rFonts w:hint="eastAsia" w:ascii="宋体" w:hAnsi="宋体"/>
                <w:color w:val="000000"/>
                <w:sz w:val="22"/>
              </w:rPr>
              <w:t>、锐捷</w:t>
            </w:r>
          </w:p>
          <w:p>
            <w:pPr>
              <w:jc w:val="center"/>
              <w:rPr>
                <w:rFonts w:ascii="Calibri" w:hAnsi="Calibri" w:eastAsia="宋体" w:cs="Times New Roman"/>
                <w:color w:val="000000"/>
                <w:kern w:val="2"/>
                <w:sz w:val="21"/>
                <w:szCs w:val="24"/>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169</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7</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防火墙</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ascii="宋体" w:hAnsi="宋体"/>
                <w:color w:val="000000"/>
                <w:sz w:val="22"/>
              </w:rPr>
              <w:t>锐捷</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14</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8</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路由器</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ascii="宋体" w:hAnsi="宋体"/>
                <w:color w:val="000000"/>
                <w:sz w:val="22"/>
              </w:rPr>
              <w:t>锐捷</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57</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9</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网络设备</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ascii="宋体" w:hAnsi="宋体"/>
                <w:color w:val="000000"/>
                <w:sz w:val="22"/>
              </w:rPr>
              <w:t>锐捷</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26</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10</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云终端桌面</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LBD2012AC.VS</w:t>
            </w:r>
          </w:p>
          <w:p>
            <w:pPr>
              <w:jc w:val="center"/>
              <w:rPr>
                <w:rFonts w:ascii="Calibri" w:hAnsi="Calibri" w:eastAsia="宋体" w:cs="Times New Roman"/>
                <w:color w:val="000000"/>
                <w:kern w:val="2"/>
                <w:sz w:val="21"/>
                <w:szCs w:val="24"/>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161</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2017-2018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11</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功放</w:t>
            </w:r>
          </w:p>
          <w:p>
            <w:pPr>
              <w:jc w:val="center"/>
              <w:rPr>
                <w:rFonts w:ascii="Calibri" w:hAnsi="Calibri" w:eastAsia="宋体" w:cs="Times New Roman"/>
                <w:color w:val="000000"/>
                <w:kern w:val="2"/>
                <w:sz w:val="21"/>
                <w:szCs w:val="24"/>
                <w:lang w:val="en-US" w:eastAsia="zh-CN" w:bidi="ar-SA"/>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湖山XY100\2060TJP-2700</w:t>
            </w:r>
          </w:p>
          <w:p>
            <w:pPr>
              <w:jc w:val="center"/>
              <w:rPr>
                <w:rFonts w:ascii="Calibri" w:hAnsi="Calibri" w:eastAsia="宋体" w:cs="Times New Roman"/>
                <w:color w:val="000000"/>
                <w:kern w:val="2"/>
                <w:sz w:val="21"/>
                <w:szCs w:val="24"/>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22</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12</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多媒体触摸一体机</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color w:val="000000"/>
                <w:szCs w:val="24"/>
              </w:rPr>
              <w:t>DONVIEW DS-65IWD-MOIP</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26</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13</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单反相机</w:t>
            </w:r>
          </w:p>
          <w:p>
            <w:pPr>
              <w:jc w:val="center"/>
              <w:rPr>
                <w:rFonts w:ascii="Calibri" w:hAnsi="Calibri" w:eastAsia="宋体" w:cs="Times New Roman"/>
                <w:color w:val="000000"/>
                <w:kern w:val="2"/>
                <w:sz w:val="21"/>
                <w:szCs w:val="24"/>
                <w:lang w:val="en-US" w:eastAsia="zh-CN" w:bidi="ar-SA"/>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佳能600d</w:t>
            </w:r>
          </w:p>
          <w:p>
            <w:pPr>
              <w:jc w:val="center"/>
              <w:rPr>
                <w:rFonts w:ascii="Calibri" w:hAnsi="Calibri" w:eastAsia="宋体" w:cs="Times New Roman"/>
                <w:color w:val="000000"/>
                <w:kern w:val="2"/>
                <w:sz w:val="21"/>
                <w:szCs w:val="24"/>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17</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14</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电子白板</w:t>
            </w:r>
          </w:p>
          <w:p>
            <w:pPr>
              <w:jc w:val="center"/>
              <w:rPr>
                <w:rFonts w:ascii="Calibri" w:hAnsi="Calibri" w:eastAsia="宋体" w:cs="Times New Roman"/>
                <w:color w:val="000000"/>
                <w:kern w:val="2"/>
                <w:sz w:val="21"/>
                <w:szCs w:val="24"/>
                <w:lang w:val="en-US" w:eastAsia="zh-CN" w:bidi="ar-SA"/>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DB-107IWS-YO1</w:t>
            </w:r>
          </w:p>
          <w:p>
            <w:pPr>
              <w:jc w:val="center"/>
              <w:rPr>
                <w:rFonts w:ascii="Calibri" w:hAnsi="Calibri" w:eastAsia="宋体" w:cs="Times New Roman"/>
                <w:color w:val="000000"/>
                <w:kern w:val="2"/>
                <w:sz w:val="21"/>
                <w:szCs w:val="24"/>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41</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Calibri" w:hAnsi="Calibri" w:eastAsia="宋体" w:cs="Times New Roman"/>
                <w:kern w:val="2"/>
                <w:sz w:val="21"/>
                <w:szCs w:val="24"/>
                <w:lang w:val="en-US" w:eastAsia="zh-CN" w:bidi="ar-SA"/>
              </w:rPr>
            </w:pPr>
            <w:r>
              <w:rPr>
                <w:rFonts w:hint="eastAsia"/>
                <w:szCs w:val="24"/>
              </w:rPr>
              <w:t>15</w:t>
            </w:r>
          </w:p>
        </w:tc>
        <w:tc>
          <w:tcPr>
            <w:tcW w:w="43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录播设备</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大华</w:t>
            </w:r>
            <w:r>
              <w:rPr>
                <w:rFonts w:hint="eastAsia" w:ascii="宋体" w:hAnsi="宋体"/>
                <w:color w:val="000000"/>
                <w:szCs w:val="24"/>
              </w:rPr>
              <w:t>、深圳锐取</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78</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kern w:val="2"/>
                <w:sz w:val="21"/>
                <w:szCs w:val="24"/>
                <w:lang w:val="en-US" w:eastAsia="zh-CN" w:bidi="ar-SA"/>
              </w:rPr>
            </w:pPr>
            <w:r>
              <w:rPr>
                <w:rFonts w:hint="eastAsia"/>
                <w:color w:val="000000"/>
                <w:szCs w:val="24"/>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4390"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577"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96"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701"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4390"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577"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96"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701"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4390"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577"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96"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701"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4390"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577"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96"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701"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4390"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577"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96"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701"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5"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4390"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577"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96"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701"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bl>
    <w:p>
      <w:pPr>
        <w:spacing w:line="580" w:lineRule="exact"/>
        <w:jc w:val="center"/>
        <w:rPr>
          <w:rFonts w:eastAsia="仿宋_GB2312"/>
          <w:b/>
          <w:szCs w:val="24"/>
        </w:rPr>
      </w:pPr>
    </w:p>
    <w:p>
      <w:pPr>
        <w:spacing w:line="580" w:lineRule="exact"/>
        <w:jc w:val="center"/>
        <w:rPr>
          <w:rFonts w:eastAsia="黑体"/>
          <w:bCs/>
          <w:sz w:val="32"/>
          <w:szCs w:val="32"/>
        </w:rPr>
      </w:pPr>
    </w:p>
    <w:p>
      <w:pPr>
        <w:spacing w:line="580" w:lineRule="exact"/>
        <w:rPr>
          <w:rFonts w:eastAsia="黑体"/>
          <w:bCs/>
          <w:sz w:val="32"/>
          <w:szCs w:val="32"/>
        </w:rPr>
      </w:pPr>
    </w:p>
    <w:sectPr>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2394"/>
    </w:sdtPr>
    <w:sdtContent>
      <w:p>
        <w:pPr>
          <w:pStyle w:val="9"/>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M2Q2NTQ1ZDc4ZGNjZDc3NzlhZTU0Y2NhNTQ0MGEifQ=="/>
  </w:docVars>
  <w:rsids>
    <w:rsidRoot w:val="006F3986"/>
    <w:rsid w:val="00010FFA"/>
    <w:rsid w:val="00034335"/>
    <w:rsid w:val="000800E7"/>
    <w:rsid w:val="00093DF0"/>
    <w:rsid w:val="00094885"/>
    <w:rsid w:val="000A5B9F"/>
    <w:rsid w:val="000C1901"/>
    <w:rsid w:val="000C4BC2"/>
    <w:rsid w:val="000E7C8F"/>
    <w:rsid w:val="0010600D"/>
    <w:rsid w:val="00114AC1"/>
    <w:rsid w:val="00122AD9"/>
    <w:rsid w:val="00123D86"/>
    <w:rsid w:val="00132255"/>
    <w:rsid w:val="00133C94"/>
    <w:rsid w:val="00134DC5"/>
    <w:rsid w:val="00143FB4"/>
    <w:rsid w:val="00185620"/>
    <w:rsid w:val="001E0E97"/>
    <w:rsid w:val="00205ED8"/>
    <w:rsid w:val="002267D5"/>
    <w:rsid w:val="00267071"/>
    <w:rsid w:val="002825FD"/>
    <w:rsid w:val="00286C19"/>
    <w:rsid w:val="002B0588"/>
    <w:rsid w:val="002B1F37"/>
    <w:rsid w:val="002B680C"/>
    <w:rsid w:val="00310254"/>
    <w:rsid w:val="00311262"/>
    <w:rsid w:val="00320333"/>
    <w:rsid w:val="00325706"/>
    <w:rsid w:val="00333985"/>
    <w:rsid w:val="0034080C"/>
    <w:rsid w:val="00350F27"/>
    <w:rsid w:val="00351658"/>
    <w:rsid w:val="00363053"/>
    <w:rsid w:val="00367A2E"/>
    <w:rsid w:val="00397937"/>
    <w:rsid w:val="003A667A"/>
    <w:rsid w:val="003D3653"/>
    <w:rsid w:val="003D4847"/>
    <w:rsid w:val="003D4C97"/>
    <w:rsid w:val="003E5E31"/>
    <w:rsid w:val="003E6F42"/>
    <w:rsid w:val="00426980"/>
    <w:rsid w:val="00433C51"/>
    <w:rsid w:val="00447E2A"/>
    <w:rsid w:val="00451AFD"/>
    <w:rsid w:val="0045504E"/>
    <w:rsid w:val="0047614D"/>
    <w:rsid w:val="00493626"/>
    <w:rsid w:val="00495BE9"/>
    <w:rsid w:val="004A677A"/>
    <w:rsid w:val="004B3C2A"/>
    <w:rsid w:val="004C3B82"/>
    <w:rsid w:val="004D05F2"/>
    <w:rsid w:val="0050453D"/>
    <w:rsid w:val="00525A38"/>
    <w:rsid w:val="00557F36"/>
    <w:rsid w:val="00563B06"/>
    <w:rsid w:val="005738C4"/>
    <w:rsid w:val="005859C6"/>
    <w:rsid w:val="005914D7"/>
    <w:rsid w:val="00593E2E"/>
    <w:rsid w:val="005F0371"/>
    <w:rsid w:val="006114F3"/>
    <w:rsid w:val="00617445"/>
    <w:rsid w:val="006264F4"/>
    <w:rsid w:val="0063015C"/>
    <w:rsid w:val="006324F8"/>
    <w:rsid w:val="00671530"/>
    <w:rsid w:val="00681F47"/>
    <w:rsid w:val="006A1739"/>
    <w:rsid w:val="006B48B1"/>
    <w:rsid w:val="006C6A67"/>
    <w:rsid w:val="006D4395"/>
    <w:rsid w:val="006F0C0E"/>
    <w:rsid w:val="006F3986"/>
    <w:rsid w:val="00705DA8"/>
    <w:rsid w:val="00724D99"/>
    <w:rsid w:val="00741F44"/>
    <w:rsid w:val="00747B7D"/>
    <w:rsid w:val="00747CDA"/>
    <w:rsid w:val="0075180B"/>
    <w:rsid w:val="0076171E"/>
    <w:rsid w:val="0077054F"/>
    <w:rsid w:val="00774D19"/>
    <w:rsid w:val="0078288C"/>
    <w:rsid w:val="007A1F7E"/>
    <w:rsid w:val="007A56A2"/>
    <w:rsid w:val="007D07F5"/>
    <w:rsid w:val="007F4A87"/>
    <w:rsid w:val="00800444"/>
    <w:rsid w:val="00800F71"/>
    <w:rsid w:val="0081557B"/>
    <w:rsid w:val="00827066"/>
    <w:rsid w:val="00844EB6"/>
    <w:rsid w:val="00854102"/>
    <w:rsid w:val="00856A88"/>
    <w:rsid w:val="008754BA"/>
    <w:rsid w:val="00896668"/>
    <w:rsid w:val="008A5EDD"/>
    <w:rsid w:val="008C13A0"/>
    <w:rsid w:val="008E04F2"/>
    <w:rsid w:val="008F0570"/>
    <w:rsid w:val="00900713"/>
    <w:rsid w:val="00904DBC"/>
    <w:rsid w:val="00907719"/>
    <w:rsid w:val="00911588"/>
    <w:rsid w:val="00920110"/>
    <w:rsid w:val="00926266"/>
    <w:rsid w:val="00935BE1"/>
    <w:rsid w:val="0094036F"/>
    <w:rsid w:val="00945C98"/>
    <w:rsid w:val="009574D8"/>
    <w:rsid w:val="00976E05"/>
    <w:rsid w:val="00980420"/>
    <w:rsid w:val="00982F03"/>
    <w:rsid w:val="0099452D"/>
    <w:rsid w:val="00994F84"/>
    <w:rsid w:val="009A5FA4"/>
    <w:rsid w:val="009E102B"/>
    <w:rsid w:val="009E1451"/>
    <w:rsid w:val="009E35B1"/>
    <w:rsid w:val="009E3AFA"/>
    <w:rsid w:val="009F07DC"/>
    <w:rsid w:val="00A174B0"/>
    <w:rsid w:val="00A347AB"/>
    <w:rsid w:val="00A367B2"/>
    <w:rsid w:val="00A564C8"/>
    <w:rsid w:val="00A902AF"/>
    <w:rsid w:val="00AA1350"/>
    <w:rsid w:val="00AC28AC"/>
    <w:rsid w:val="00AF04C0"/>
    <w:rsid w:val="00B11F9D"/>
    <w:rsid w:val="00B207CF"/>
    <w:rsid w:val="00B34CEF"/>
    <w:rsid w:val="00B454AC"/>
    <w:rsid w:val="00BA244F"/>
    <w:rsid w:val="00BB4116"/>
    <w:rsid w:val="00BC4F94"/>
    <w:rsid w:val="00BE404D"/>
    <w:rsid w:val="00C0159F"/>
    <w:rsid w:val="00C47C4C"/>
    <w:rsid w:val="00C6753C"/>
    <w:rsid w:val="00C921C5"/>
    <w:rsid w:val="00CB5D91"/>
    <w:rsid w:val="00D03E88"/>
    <w:rsid w:val="00D17A1F"/>
    <w:rsid w:val="00D32183"/>
    <w:rsid w:val="00D57E51"/>
    <w:rsid w:val="00D84B14"/>
    <w:rsid w:val="00D873FD"/>
    <w:rsid w:val="00DA4E45"/>
    <w:rsid w:val="00DB355C"/>
    <w:rsid w:val="00DB6C8D"/>
    <w:rsid w:val="00DD747E"/>
    <w:rsid w:val="00DE7748"/>
    <w:rsid w:val="00DF2DDD"/>
    <w:rsid w:val="00DF77CD"/>
    <w:rsid w:val="00E001E3"/>
    <w:rsid w:val="00E01768"/>
    <w:rsid w:val="00E11982"/>
    <w:rsid w:val="00E21B5A"/>
    <w:rsid w:val="00E309A4"/>
    <w:rsid w:val="00E418CE"/>
    <w:rsid w:val="00E4251D"/>
    <w:rsid w:val="00E56456"/>
    <w:rsid w:val="00E6138D"/>
    <w:rsid w:val="00E65C3D"/>
    <w:rsid w:val="00E77AB7"/>
    <w:rsid w:val="00E87323"/>
    <w:rsid w:val="00E937E1"/>
    <w:rsid w:val="00ED7F94"/>
    <w:rsid w:val="00EE0E59"/>
    <w:rsid w:val="00F111EB"/>
    <w:rsid w:val="00F21DAA"/>
    <w:rsid w:val="00F45AF9"/>
    <w:rsid w:val="00F8416C"/>
    <w:rsid w:val="00F92BBE"/>
    <w:rsid w:val="00F93750"/>
    <w:rsid w:val="00FA0126"/>
    <w:rsid w:val="00FA0BD0"/>
    <w:rsid w:val="00FA2836"/>
    <w:rsid w:val="00FB0130"/>
    <w:rsid w:val="00FB28CC"/>
    <w:rsid w:val="00FB618C"/>
    <w:rsid w:val="00FC489C"/>
    <w:rsid w:val="00FD1B2E"/>
    <w:rsid w:val="00FD7C1B"/>
    <w:rsid w:val="00FE18F6"/>
    <w:rsid w:val="03174F3D"/>
    <w:rsid w:val="036C4666"/>
    <w:rsid w:val="03E72B61"/>
    <w:rsid w:val="06A73D67"/>
    <w:rsid w:val="08B922D8"/>
    <w:rsid w:val="0B347D2F"/>
    <w:rsid w:val="0B9018BB"/>
    <w:rsid w:val="0F6618C8"/>
    <w:rsid w:val="12860F0C"/>
    <w:rsid w:val="14D42C8D"/>
    <w:rsid w:val="15A81625"/>
    <w:rsid w:val="16EC0907"/>
    <w:rsid w:val="1C2127AD"/>
    <w:rsid w:val="1D366AC4"/>
    <w:rsid w:val="1E113D17"/>
    <w:rsid w:val="20A02230"/>
    <w:rsid w:val="216C24A0"/>
    <w:rsid w:val="2CC4161B"/>
    <w:rsid w:val="2ED66A0F"/>
    <w:rsid w:val="2EF82409"/>
    <w:rsid w:val="32A54B7E"/>
    <w:rsid w:val="39DD1E6A"/>
    <w:rsid w:val="3D1D78A3"/>
    <w:rsid w:val="4292420A"/>
    <w:rsid w:val="447D33CD"/>
    <w:rsid w:val="469A2CCB"/>
    <w:rsid w:val="4A032B6A"/>
    <w:rsid w:val="4A0E02C3"/>
    <w:rsid w:val="4B0E269B"/>
    <w:rsid w:val="4C741450"/>
    <w:rsid w:val="4F6E4C70"/>
    <w:rsid w:val="53373E0C"/>
    <w:rsid w:val="543F1D10"/>
    <w:rsid w:val="545F6F77"/>
    <w:rsid w:val="58F01C54"/>
    <w:rsid w:val="60337E91"/>
    <w:rsid w:val="60BA0A0A"/>
    <w:rsid w:val="60F5158E"/>
    <w:rsid w:val="61273712"/>
    <w:rsid w:val="648D7C4D"/>
    <w:rsid w:val="682F3DDC"/>
    <w:rsid w:val="69366867"/>
    <w:rsid w:val="6B595B96"/>
    <w:rsid w:val="6F1C2B41"/>
    <w:rsid w:val="71C66819"/>
    <w:rsid w:val="7CBD7DA1"/>
    <w:rsid w:val="7DCC10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ascii="仿宋" w:hAnsi="仿宋" w:eastAsia="仿宋"/>
      <w:b/>
      <w:bCs/>
      <w:kern w:val="44"/>
      <w:sz w:val="32"/>
      <w:szCs w:val="32"/>
    </w:rPr>
  </w:style>
  <w:style w:type="paragraph" w:styleId="4">
    <w:name w:val="heading 2"/>
    <w:basedOn w:val="1"/>
    <w:next w:val="1"/>
    <w:unhideWhenUsed/>
    <w:qFormat/>
    <w:uiPriority w:val="9"/>
    <w:pPr>
      <w:keepNext/>
      <w:keepLines/>
      <w:spacing w:before="260" w:after="260" w:line="416" w:lineRule="auto"/>
      <w:outlineLvl w:val="1"/>
    </w:pPr>
    <w:rPr>
      <w:rFonts w:eastAsia="仿宋" w:asciiTheme="majorHAnsi" w:hAnsiTheme="majorHAnsi" w:cstheme="majorBidi"/>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annotation text"/>
    <w:basedOn w:val="1"/>
    <w:semiHidden/>
    <w:unhideWhenUsed/>
    <w:qFormat/>
    <w:uiPriority w:val="99"/>
    <w:pPr>
      <w:jc w:val="left"/>
    </w:pPr>
  </w:style>
  <w:style w:type="paragraph" w:styleId="6">
    <w:name w:val="Plain Text"/>
    <w:basedOn w:val="1"/>
    <w:qFormat/>
    <w:uiPriority w:val="0"/>
    <w:rPr>
      <w:rFonts w:ascii="宋体" w:hAnsi="Courier New"/>
      <w:kern w:val="0"/>
      <w:sz w:val="20"/>
      <w:szCs w:val="21"/>
    </w:rPr>
  </w:style>
  <w:style w:type="paragraph" w:styleId="7">
    <w:name w:val="Date"/>
    <w:basedOn w:val="1"/>
    <w:next w:val="1"/>
    <w:link w:val="21"/>
    <w:unhideWhenUsed/>
    <w:qFormat/>
    <w:uiPriority w:val="99"/>
    <w:pPr>
      <w:ind w:left="100" w:leftChars="2500"/>
    </w:pPr>
  </w:style>
  <w:style w:type="paragraph" w:styleId="8">
    <w:name w:val="Balloon Text"/>
    <w:basedOn w:val="1"/>
    <w:link w:val="17"/>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uiPriority w:val="10"/>
    <w:pPr>
      <w:spacing w:line="520" w:lineRule="exact"/>
      <w:jc w:val="center"/>
    </w:pPr>
    <w:rPr>
      <w:rFonts w:ascii="黑体" w:hAnsi="宋体" w:eastAsia="黑体"/>
      <w:sz w:val="32"/>
      <w:szCs w:val="3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批注框文本 Char"/>
    <w:basedOn w:val="15"/>
    <w:link w:val="8"/>
    <w:semiHidden/>
    <w:qFormat/>
    <w:uiPriority w:val="99"/>
    <w:rPr>
      <w:rFonts w:ascii="Calibri" w:hAnsi="Calibri" w:eastAsia="宋体" w:cs="Times New Roman"/>
      <w:sz w:val="18"/>
      <w:szCs w:val="18"/>
    </w:rPr>
  </w:style>
  <w:style w:type="character" w:customStyle="1" w:styleId="18">
    <w:name w:val="页眉 Char"/>
    <w:basedOn w:val="15"/>
    <w:link w:val="10"/>
    <w:qFormat/>
    <w:uiPriority w:val="99"/>
    <w:rPr>
      <w:rFonts w:ascii="Calibri" w:hAnsi="Calibri" w:eastAsia="宋体" w:cs="Times New Roman"/>
      <w:sz w:val="18"/>
      <w:szCs w:val="18"/>
    </w:rPr>
  </w:style>
  <w:style w:type="character" w:customStyle="1" w:styleId="19">
    <w:name w:val="页脚 Char"/>
    <w:basedOn w:val="15"/>
    <w:link w:val="9"/>
    <w:qFormat/>
    <w:uiPriority w:val="99"/>
    <w:rPr>
      <w:rFonts w:ascii="Calibri" w:hAnsi="Calibri" w:eastAsia="宋体" w:cs="Times New Roman"/>
      <w:sz w:val="18"/>
      <w:szCs w:val="18"/>
    </w:rPr>
  </w:style>
  <w:style w:type="paragraph" w:customStyle="1" w:styleId="20">
    <w:name w:val="List Paragraph"/>
    <w:basedOn w:val="1"/>
    <w:qFormat/>
    <w:uiPriority w:val="34"/>
    <w:pPr>
      <w:ind w:firstLine="420" w:firstLineChars="200"/>
    </w:pPr>
  </w:style>
  <w:style w:type="character" w:customStyle="1" w:styleId="21">
    <w:name w:val="日期 Char"/>
    <w:basedOn w:val="15"/>
    <w:link w:val="7"/>
    <w:semiHidden/>
    <w:qFormat/>
    <w:uiPriority w:val="99"/>
    <w:rPr>
      <w:rFonts w:ascii="Calibri" w:hAnsi="Calibri" w:eastAsia="宋体" w:cs="Times New Roman"/>
    </w:rPr>
  </w:style>
  <w:style w:type="character" w:customStyle="1" w:styleId="22">
    <w:name w:val="font101"/>
    <w:basedOn w:val="1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30</Pages>
  <Words>17855</Words>
  <Characters>18914</Characters>
  <Lines>12</Lines>
  <Paragraphs>3</Paragraphs>
  <TotalTime>0</TotalTime>
  <ScaleCrop>false</ScaleCrop>
  <LinksUpToDate>false</LinksUpToDate>
  <CharactersWithSpaces>19169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2017-01-09T07:03:00Z</dcterms:created>
  <dc:creator>林燕</dc:creator>
  <cp:lastModifiedBy>鸡排</cp:lastModifiedBy>
  <cp:lastPrinted>2017-01-06T07:12:00Z</cp:lastPrinted>
  <dcterms:modified xsi:type="dcterms:W3CDTF">2023-02-18T05:16:56Z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6A1DEEEE8D054018A58F98F1486477CB</vt:lpwstr>
  </property>
</Properties>
</file>