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80" w:lineRule="exact"/>
        <w:jc w:val="center"/>
        <w:rPr>
          <w:rFonts w:ascii="仿宋" w:hAnsi="仿宋" w:eastAsia="仿宋" w:cs="仿宋"/>
          <w:b/>
          <w:bCs/>
          <w:spacing w:val="-20"/>
          <w:sz w:val="28"/>
          <w:szCs w:val="28"/>
        </w:rPr>
      </w:pPr>
    </w:p>
    <w:p>
      <w:pPr>
        <w:spacing w:line="580" w:lineRule="exact"/>
        <w:jc w:val="center"/>
        <w:rPr>
          <w:rFonts w:ascii="仿宋" w:hAnsi="仿宋" w:eastAsia="仿宋" w:cs="仿宋"/>
          <w:bCs/>
          <w:kern w:val="0"/>
          <w:sz w:val="28"/>
          <w:szCs w:val="28"/>
        </w:rPr>
      </w:pPr>
      <w:r>
        <w:rPr>
          <w:rFonts w:hint="eastAsia" w:ascii="仿宋" w:hAnsi="仿宋" w:eastAsia="仿宋" w:cs="仿宋"/>
          <w:bCs/>
          <w:kern w:val="0"/>
          <w:sz w:val="28"/>
          <w:szCs w:val="28"/>
        </w:rPr>
        <w:t>高等学历继续教育</w:t>
      </w:r>
    </w:p>
    <w:p>
      <w:pPr>
        <w:spacing w:line="580" w:lineRule="exact"/>
        <w:jc w:val="center"/>
        <w:rPr>
          <w:rFonts w:ascii="仿宋" w:hAnsi="仿宋" w:eastAsia="仿宋" w:cs="仿宋"/>
          <w:bCs/>
          <w:kern w:val="0"/>
          <w:sz w:val="28"/>
          <w:szCs w:val="28"/>
        </w:rPr>
      </w:pPr>
      <w:r>
        <w:rPr>
          <w:rFonts w:hint="eastAsia" w:ascii="仿宋" w:hAnsi="仿宋" w:eastAsia="仿宋" w:cs="仿宋"/>
          <w:bCs/>
          <w:kern w:val="0"/>
          <w:sz w:val="28"/>
          <w:szCs w:val="28"/>
        </w:rPr>
        <w:t>专业增设申请表(非国控专业)</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学校名称（盖章）：江西开放大学</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学校主管部门：江西省教育厅</w:t>
      </w:r>
    </w:p>
    <w:p>
      <w:pPr>
        <w:spacing w:line="580" w:lineRule="exact"/>
        <w:ind w:firstLine="770" w:firstLineChars="275"/>
        <w:rPr>
          <w:rFonts w:ascii="仿宋" w:hAnsi="仿宋" w:eastAsia="仿宋" w:cs="仿宋"/>
          <w:sz w:val="28"/>
          <w:szCs w:val="28"/>
          <w:u w:val="thick"/>
        </w:rPr>
      </w:pPr>
      <w:r>
        <w:rPr>
          <w:rFonts w:hint="eastAsia" w:ascii="仿宋" w:hAnsi="仿宋" w:eastAsia="仿宋" w:cs="仿宋"/>
          <w:sz w:val="28"/>
          <w:szCs w:val="28"/>
        </w:rPr>
        <w:t>专业名称：药学</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专业代码：100701</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所属专业门类或专业大类：医药卫生大类</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修业年限：2.5年</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学习形式: 成人业余</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培养层次: 本科</w:t>
      </w:r>
    </w:p>
    <w:p>
      <w:pPr>
        <w:spacing w:line="580" w:lineRule="exact"/>
        <w:ind w:firstLine="785" w:firstLineChars="255"/>
        <w:rPr>
          <w:rFonts w:ascii="仿宋" w:hAnsi="仿宋" w:eastAsia="仿宋" w:cs="仿宋"/>
          <w:sz w:val="28"/>
          <w:szCs w:val="28"/>
        </w:rPr>
      </w:pPr>
      <w:r>
        <w:rPr>
          <w:rFonts w:hint="eastAsia" w:ascii="仿宋" w:hAnsi="仿宋" w:eastAsia="仿宋" w:cs="仿宋"/>
          <w:spacing w:val="14"/>
          <w:sz w:val="28"/>
          <w:szCs w:val="28"/>
        </w:rPr>
        <w:t>申请时间：2023年</w:t>
      </w:r>
      <w:r>
        <w:rPr>
          <w:rFonts w:ascii="仿宋" w:hAnsi="仿宋" w:eastAsia="仿宋" w:cs="仿宋"/>
          <w:spacing w:val="14"/>
          <w:sz w:val="28"/>
          <w:szCs w:val="28"/>
        </w:rPr>
        <w:t>2</w:t>
      </w:r>
      <w:r>
        <w:rPr>
          <w:rFonts w:hint="eastAsia" w:ascii="仿宋" w:hAnsi="仿宋" w:eastAsia="仿宋" w:cs="仿宋"/>
          <w:spacing w:val="14"/>
          <w:sz w:val="28"/>
          <w:szCs w:val="28"/>
        </w:rPr>
        <w:t>月</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专业负责人：范紫权</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联系电话：15170011190</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jc w:val="center"/>
        <w:rPr>
          <w:rFonts w:ascii="仿宋" w:hAnsi="仿宋" w:eastAsia="仿宋" w:cs="仿宋"/>
          <w:sz w:val="28"/>
          <w:szCs w:val="28"/>
        </w:rPr>
      </w:pPr>
    </w:p>
    <w:p>
      <w:pPr>
        <w:spacing w:line="580" w:lineRule="exact"/>
        <w:jc w:val="center"/>
        <w:rPr>
          <w:rFonts w:ascii="仿宋" w:hAnsi="仿宋" w:eastAsia="仿宋" w:cs="仿宋"/>
          <w:sz w:val="28"/>
          <w:szCs w:val="28"/>
        </w:rPr>
      </w:pPr>
      <w:r>
        <w:rPr>
          <w:rFonts w:hint="eastAsia" w:ascii="仿宋" w:hAnsi="仿宋" w:eastAsia="仿宋" w:cs="仿宋"/>
          <w:sz w:val="28"/>
          <w:szCs w:val="28"/>
        </w:rPr>
        <w:t>中华人民共和国教育部制</w:t>
      </w:r>
    </w:p>
    <w:p>
      <w:pPr>
        <w:spacing w:line="580" w:lineRule="exact"/>
        <w:jc w:val="center"/>
        <w:rPr>
          <w:rFonts w:ascii="仿宋" w:hAnsi="仿宋" w:eastAsia="仿宋" w:cs="仿宋"/>
          <w:sz w:val="28"/>
          <w:szCs w:val="28"/>
        </w:rPr>
      </w:pPr>
    </w:p>
    <w:p>
      <w:pPr>
        <w:spacing w:line="580" w:lineRule="exact"/>
        <w:jc w:val="center"/>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jc w:val="center"/>
        <w:rPr>
          <w:rFonts w:ascii="仿宋" w:hAnsi="仿宋" w:eastAsia="仿宋" w:cs="仿宋"/>
          <w:b/>
          <w:bCs/>
          <w:sz w:val="28"/>
          <w:szCs w:val="28"/>
        </w:rPr>
      </w:pPr>
    </w:p>
    <w:p>
      <w:pPr>
        <w:spacing w:line="580" w:lineRule="exact"/>
        <w:jc w:val="center"/>
        <w:rPr>
          <w:rFonts w:ascii="仿宋" w:hAnsi="仿宋" w:eastAsia="仿宋" w:cs="仿宋"/>
          <w:b/>
          <w:bCs/>
          <w:sz w:val="28"/>
          <w:szCs w:val="28"/>
        </w:rPr>
      </w:pPr>
      <w:r>
        <w:rPr>
          <w:rFonts w:hint="eastAsia" w:ascii="仿宋" w:hAnsi="仿宋" w:eastAsia="仿宋" w:cs="仿宋"/>
          <w:b/>
          <w:bCs/>
          <w:sz w:val="28"/>
          <w:szCs w:val="28"/>
        </w:rPr>
        <w:t>目录</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r>
        <w:rPr>
          <w:rFonts w:hint="eastAsia" w:ascii="仿宋" w:hAnsi="仿宋" w:eastAsia="仿宋" w:cs="仿宋"/>
          <w:sz w:val="28"/>
          <w:szCs w:val="28"/>
        </w:rPr>
        <w:t>1. 专业增设申请表</w:t>
      </w:r>
    </w:p>
    <w:p>
      <w:pPr>
        <w:spacing w:line="580" w:lineRule="exact"/>
        <w:rPr>
          <w:rFonts w:ascii="仿宋" w:hAnsi="仿宋" w:eastAsia="仿宋" w:cs="仿宋"/>
          <w:sz w:val="28"/>
          <w:szCs w:val="28"/>
        </w:rPr>
      </w:pPr>
      <w:r>
        <w:rPr>
          <w:rFonts w:hint="eastAsia" w:ascii="仿宋" w:hAnsi="仿宋" w:eastAsia="仿宋" w:cs="仿宋"/>
          <w:sz w:val="28"/>
          <w:szCs w:val="28"/>
        </w:rPr>
        <w:t>2. 学校基本情况</w:t>
      </w:r>
    </w:p>
    <w:p>
      <w:pPr>
        <w:spacing w:line="580" w:lineRule="exact"/>
        <w:rPr>
          <w:rFonts w:ascii="仿宋" w:hAnsi="仿宋" w:eastAsia="仿宋" w:cs="仿宋"/>
          <w:sz w:val="28"/>
          <w:szCs w:val="28"/>
        </w:rPr>
      </w:pPr>
      <w:r>
        <w:rPr>
          <w:rFonts w:hint="eastAsia" w:ascii="仿宋" w:hAnsi="仿宋" w:eastAsia="仿宋" w:cs="仿宋"/>
          <w:sz w:val="28"/>
          <w:szCs w:val="28"/>
        </w:rPr>
        <w:t>3. 增设专业的理由和基础</w:t>
      </w:r>
    </w:p>
    <w:p>
      <w:pPr>
        <w:spacing w:line="580" w:lineRule="exact"/>
        <w:rPr>
          <w:rFonts w:ascii="仿宋" w:hAnsi="仿宋" w:eastAsia="仿宋" w:cs="仿宋"/>
          <w:color w:val="0000FF"/>
          <w:sz w:val="28"/>
          <w:szCs w:val="28"/>
        </w:rPr>
      </w:pPr>
      <w:r>
        <w:rPr>
          <w:rFonts w:hint="eastAsia" w:ascii="仿宋" w:hAnsi="仿宋" w:eastAsia="仿宋" w:cs="仿宋"/>
          <w:color w:val="0000FF"/>
          <w:sz w:val="28"/>
          <w:szCs w:val="28"/>
        </w:rPr>
        <w:t>4. 增设专业人才培养方案</w:t>
      </w:r>
    </w:p>
    <w:p>
      <w:pPr>
        <w:spacing w:line="580" w:lineRule="exact"/>
        <w:rPr>
          <w:rFonts w:ascii="仿宋" w:hAnsi="仿宋" w:eastAsia="仿宋" w:cs="仿宋"/>
          <w:sz w:val="28"/>
          <w:szCs w:val="28"/>
        </w:rPr>
      </w:pPr>
      <w:r>
        <w:rPr>
          <w:rFonts w:hint="eastAsia" w:ascii="仿宋" w:hAnsi="仿宋" w:eastAsia="仿宋" w:cs="仿宋"/>
          <w:sz w:val="28"/>
          <w:szCs w:val="28"/>
        </w:rPr>
        <w:t>5. 增设专业专任教师情况</w:t>
      </w:r>
    </w:p>
    <w:p>
      <w:pPr>
        <w:spacing w:line="580" w:lineRule="exact"/>
        <w:rPr>
          <w:rFonts w:ascii="仿宋" w:hAnsi="仿宋" w:eastAsia="仿宋" w:cs="仿宋"/>
          <w:sz w:val="28"/>
          <w:szCs w:val="28"/>
        </w:rPr>
      </w:pPr>
      <w:r>
        <w:rPr>
          <w:rFonts w:hint="eastAsia" w:ascii="仿宋" w:hAnsi="仿宋" w:eastAsia="仿宋" w:cs="仿宋"/>
          <w:sz w:val="28"/>
          <w:szCs w:val="28"/>
        </w:rPr>
        <w:t>6. 增设专业计划开设的主要课程</w:t>
      </w:r>
    </w:p>
    <w:p>
      <w:pPr>
        <w:spacing w:line="580" w:lineRule="exact"/>
        <w:rPr>
          <w:rFonts w:ascii="仿宋" w:hAnsi="仿宋" w:eastAsia="仿宋" w:cs="仿宋"/>
          <w:sz w:val="28"/>
          <w:szCs w:val="28"/>
        </w:rPr>
      </w:pPr>
      <w:r>
        <w:rPr>
          <w:rFonts w:hint="eastAsia" w:ascii="仿宋" w:hAnsi="仿宋" w:eastAsia="仿宋" w:cs="仿宋"/>
          <w:sz w:val="28"/>
          <w:szCs w:val="28"/>
        </w:rPr>
        <w:t>7. 增设专业基本办学条件</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jc w:val="center"/>
        <w:rPr>
          <w:rFonts w:ascii="仿宋" w:hAnsi="仿宋" w:eastAsia="仿宋" w:cs="仿宋"/>
          <w:b/>
          <w:bCs/>
          <w:spacing w:val="100"/>
          <w:sz w:val="28"/>
          <w:szCs w:val="28"/>
        </w:rPr>
      </w:pPr>
    </w:p>
    <w:p>
      <w:pPr>
        <w:spacing w:line="580" w:lineRule="exact"/>
        <w:jc w:val="center"/>
        <w:rPr>
          <w:rFonts w:ascii="仿宋" w:hAnsi="仿宋" w:eastAsia="仿宋" w:cs="仿宋"/>
          <w:b/>
          <w:bCs/>
          <w:spacing w:val="100"/>
          <w:sz w:val="28"/>
          <w:szCs w:val="28"/>
        </w:rPr>
      </w:pPr>
      <w:r>
        <w:rPr>
          <w:rFonts w:hint="eastAsia" w:ascii="仿宋" w:hAnsi="仿宋" w:eastAsia="仿宋" w:cs="仿宋"/>
          <w:b/>
          <w:bCs/>
          <w:spacing w:val="100"/>
          <w:sz w:val="28"/>
          <w:szCs w:val="28"/>
        </w:rPr>
        <w:t>填表说明</w:t>
      </w:r>
    </w:p>
    <w:p>
      <w:pPr>
        <w:spacing w:line="580" w:lineRule="exact"/>
        <w:jc w:val="center"/>
        <w:rPr>
          <w:rFonts w:ascii="仿宋" w:hAnsi="仿宋" w:eastAsia="仿宋" w:cs="仿宋"/>
          <w:spacing w:val="100"/>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1.申请表限用A4纸张打印并装订成册（各专业分别装订）;</w:t>
      </w:r>
    </w:p>
    <w:p>
      <w:pPr>
        <w:spacing w:line="560" w:lineRule="exact"/>
        <w:rPr>
          <w:rFonts w:ascii="仿宋" w:hAnsi="仿宋" w:eastAsia="仿宋" w:cs="仿宋"/>
          <w:sz w:val="28"/>
          <w:szCs w:val="28"/>
        </w:rPr>
      </w:pPr>
      <w:r>
        <w:rPr>
          <w:rFonts w:hint="eastAsia" w:ascii="仿宋" w:hAnsi="仿宋" w:eastAsia="仿宋" w:cs="仿宋"/>
          <w:sz w:val="28"/>
          <w:szCs w:val="28"/>
        </w:rPr>
        <w:t>2.在学校办学基本类型对应的方框中画“”√;</w:t>
      </w:r>
    </w:p>
    <w:p>
      <w:pPr>
        <w:spacing w:line="560" w:lineRule="exact"/>
        <w:rPr>
          <w:rFonts w:ascii="仿宋" w:hAnsi="仿宋" w:eastAsia="仿宋" w:cs="仿宋"/>
          <w:sz w:val="28"/>
          <w:szCs w:val="28"/>
        </w:rPr>
      </w:pPr>
      <w:r>
        <w:rPr>
          <w:rFonts w:hint="eastAsia" w:ascii="仿宋" w:hAnsi="仿宋" w:eastAsia="仿宋" w:cs="仿宋"/>
          <w:sz w:val="28"/>
          <w:szCs w:val="28"/>
        </w:rPr>
        <w:t>3.所有表格均可另加页;</w:t>
      </w:r>
    </w:p>
    <w:p>
      <w:pPr>
        <w:spacing w:line="560" w:lineRule="exact"/>
        <w:rPr>
          <w:rFonts w:ascii="仿宋" w:hAnsi="仿宋" w:eastAsia="仿宋" w:cs="仿宋"/>
          <w:sz w:val="28"/>
          <w:szCs w:val="28"/>
        </w:rPr>
      </w:pPr>
      <w:r>
        <w:rPr>
          <w:rFonts w:hint="eastAsia" w:ascii="仿宋" w:hAnsi="仿宋" w:eastAsia="仿宋" w:cs="仿宋"/>
          <w:sz w:val="28"/>
          <w:szCs w:val="28"/>
        </w:rPr>
        <w:t>4.本表内容应真实、准确。</w:t>
      </w:r>
    </w:p>
    <w:p>
      <w:pPr>
        <w:spacing w:line="56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after="156" w:afterLines="50" w:line="580" w:lineRule="exact"/>
        <w:jc w:val="center"/>
        <w:rPr>
          <w:rFonts w:ascii="仿宋" w:hAnsi="仿宋" w:eastAsia="仿宋" w:cs="仿宋"/>
          <w:bCs/>
          <w:sz w:val="28"/>
          <w:szCs w:val="28"/>
        </w:rPr>
      </w:pPr>
      <w:r>
        <w:rPr>
          <w:rFonts w:hint="eastAsia" w:ascii="仿宋" w:hAnsi="仿宋" w:eastAsia="仿宋" w:cs="仿宋"/>
          <w:bCs/>
          <w:sz w:val="28"/>
          <w:szCs w:val="28"/>
        </w:rPr>
        <w:t>1.专业增设申请表</w:t>
      </w:r>
    </w:p>
    <w:tbl>
      <w:tblPr>
        <w:tblStyle w:val="1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532"/>
        <w:gridCol w:w="1656"/>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专业代码</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100701</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专业名称</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学习形式</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业余</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培养层次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修业年限</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2.5年</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现有专业（个）</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学科门类（本科）或专业大类（本科）</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医药卫生大类</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本校已设的相近专业及开设年份</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药学</w:t>
            </w:r>
          </w:p>
          <w:p>
            <w:pPr>
              <w:spacing w:line="360" w:lineRule="exact"/>
              <w:jc w:val="center"/>
            </w:pPr>
            <w:r>
              <w:rPr>
                <w:rFonts w:hint="eastAsia" w:ascii="仿宋" w:hAnsi="仿宋" w:eastAsia="仿宋" w:cs="仿宋"/>
                <w:sz w:val="28"/>
                <w:szCs w:val="2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拟首次招生时间</w:t>
            </w:r>
          </w:p>
          <w:p>
            <w:pPr>
              <w:spacing w:line="360" w:lineRule="exact"/>
              <w:jc w:val="center"/>
              <w:rPr>
                <w:rFonts w:ascii="仿宋" w:hAnsi="仿宋" w:eastAsia="仿宋" w:cs="仿宋"/>
                <w:sz w:val="28"/>
                <w:szCs w:val="28"/>
              </w:rPr>
            </w:pPr>
            <w:r>
              <w:rPr>
                <w:rFonts w:hint="eastAsia" w:ascii="仿宋" w:hAnsi="仿宋" w:eastAsia="仿宋" w:cs="仿宋"/>
                <w:sz w:val="28"/>
                <w:szCs w:val="28"/>
              </w:rPr>
              <w:t>及招生数</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2023年8月</w:t>
            </w:r>
          </w:p>
          <w:p>
            <w:pPr>
              <w:spacing w:line="360" w:lineRule="exact"/>
              <w:jc w:val="center"/>
              <w:rPr>
                <w:rFonts w:ascii="仿宋" w:hAnsi="仿宋" w:eastAsia="仿宋" w:cs="仿宋"/>
                <w:sz w:val="28"/>
                <w:szCs w:val="28"/>
              </w:rPr>
            </w:pPr>
            <w:r>
              <w:rPr>
                <w:rFonts w:hint="eastAsia" w:ascii="仿宋" w:hAnsi="仿宋" w:eastAsia="仿宋" w:cs="仿宋"/>
                <w:sz w:val="28"/>
                <w:szCs w:val="28"/>
              </w:rPr>
              <w:t>500</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五年内计划</w:t>
            </w:r>
          </w:p>
          <w:p>
            <w:pPr>
              <w:spacing w:line="360" w:lineRule="exact"/>
              <w:jc w:val="center"/>
              <w:rPr>
                <w:rFonts w:ascii="仿宋" w:hAnsi="仿宋" w:eastAsia="仿宋" w:cs="仿宋"/>
                <w:sz w:val="28"/>
                <w:szCs w:val="28"/>
              </w:rPr>
            </w:pPr>
            <w:r>
              <w:rPr>
                <w:rFonts w:hint="eastAsia" w:ascii="仿宋" w:hAnsi="仿宋" w:eastAsia="仿宋" w:cs="仿宋"/>
                <w:sz w:val="28"/>
                <w:szCs w:val="28"/>
              </w:rPr>
              <w:t>发展规模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500-900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学校专业设置评议专家组织评议意见</w:t>
            </w:r>
          </w:p>
          <w:p>
            <w:pPr>
              <w:spacing w:line="360" w:lineRule="exact"/>
              <w:jc w:val="center"/>
              <w:rPr>
                <w:rFonts w:ascii="仿宋" w:hAnsi="仿宋" w:eastAsia="仿宋" w:cs="仿宋"/>
                <w:sz w:val="28"/>
                <w:szCs w:val="28"/>
              </w:rPr>
            </w:pP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ind w:firstLine="3780" w:firstLineChars="1350"/>
              <w:rPr>
                <w:rFonts w:ascii="仿宋" w:hAnsi="仿宋" w:eastAsia="仿宋" w:cs="仿宋"/>
                <w:sz w:val="28"/>
                <w:szCs w:val="28"/>
              </w:rPr>
            </w:pPr>
            <w:r>
              <w:rPr>
                <w:rFonts w:hint="eastAsia" w:ascii="仿宋" w:hAnsi="仿宋" w:eastAsia="仿宋" w:cs="仿宋"/>
                <w:sz w:val="28"/>
                <w:szCs w:val="28"/>
              </w:rPr>
              <w:t>（主任签字）</w:t>
            </w:r>
          </w:p>
          <w:p>
            <w:pPr>
              <w:spacing w:line="360" w:lineRule="exact"/>
              <w:rPr>
                <w:rFonts w:ascii="仿宋" w:hAnsi="仿宋" w:eastAsia="仿宋" w:cs="仿宋"/>
                <w:sz w:val="28"/>
                <w:szCs w:val="28"/>
              </w:rPr>
            </w:pPr>
          </w:p>
          <w:p>
            <w:pPr>
              <w:spacing w:line="360" w:lineRule="exact"/>
              <w:jc w:val="center"/>
              <w:rPr>
                <w:rFonts w:ascii="仿宋" w:hAnsi="仿宋" w:eastAsia="仿宋" w:cs="仿宋"/>
                <w:sz w:val="28"/>
                <w:szCs w:val="28"/>
              </w:rPr>
            </w:pPr>
            <w:r>
              <w:rPr>
                <w:rFonts w:hint="eastAsia" w:ascii="仿宋" w:hAnsi="仿宋" w:eastAsia="仿宋" w:cs="仿宋"/>
                <w:sz w:val="28"/>
                <w:szCs w:val="28"/>
              </w:rPr>
              <w:t xml:space="preserve">                                  年   月   日</w:t>
            </w:r>
          </w:p>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3"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学校意见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ind w:firstLine="3920" w:firstLineChars="1400"/>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（校长签字）                   学校（盖章）：</w:t>
            </w:r>
          </w:p>
          <w:p>
            <w:pPr>
              <w:spacing w:line="360" w:lineRule="exact"/>
              <w:rPr>
                <w:rFonts w:ascii="仿宋" w:hAnsi="仿宋" w:eastAsia="仿宋" w:cs="仿宋"/>
                <w:sz w:val="28"/>
                <w:szCs w:val="28"/>
              </w:rPr>
            </w:pPr>
          </w:p>
          <w:p>
            <w:pPr>
              <w:spacing w:line="360" w:lineRule="exact"/>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省级</w:t>
            </w:r>
          </w:p>
          <w:p>
            <w:pPr>
              <w:jc w:val="center"/>
              <w:rPr>
                <w:rFonts w:ascii="仿宋" w:hAnsi="仿宋" w:eastAsia="仿宋" w:cs="仿宋"/>
                <w:sz w:val="28"/>
                <w:szCs w:val="28"/>
              </w:rPr>
            </w:pPr>
            <w:r>
              <w:rPr>
                <w:rFonts w:hint="eastAsia" w:ascii="仿宋" w:hAnsi="仿宋" w:eastAsia="仿宋" w:cs="仿宋"/>
                <w:sz w:val="28"/>
                <w:szCs w:val="28"/>
              </w:rPr>
              <w:t>教育</w:t>
            </w:r>
          </w:p>
          <w:p>
            <w:pPr>
              <w:jc w:val="center"/>
              <w:rPr>
                <w:rFonts w:ascii="仿宋" w:hAnsi="仿宋" w:eastAsia="仿宋" w:cs="仿宋"/>
                <w:sz w:val="28"/>
                <w:szCs w:val="28"/>
              </w:rPr>
            </w:pPr>
            <w:r>
              <w:rPr>
                <w:rFonts w:hint="eastAsia" w:ascii="仿宋" w:hAnsi="仿宋" w:eastAsia="仿宋" w:cs="仿宋"/>
                <w:sz w:val="28"/>
                <w:szCs w:val="28"/>
              </w:rPr>
              <w:t>行政</w:t>
            </w:r>
          </w:p>
          <w:p>
            <w:pPr>
              <w:jc w:val="center"/>
              <w:rPr>
                <w:rFonts w:ascii="仿宋" w:hAnsi="仿宋" w:eastAsia="仿宋" w:cs="仿宋"/>
                <w:sz w:val="28"/>
                <w:szCs w:val="28"/>
              </w:rPr>
            </w:pPr>
            <w:r>
              <w:rPr>
                <w:rFonts w:hint="eastAsia" w:ascii="仿宋" w:hAnsi="仿宋" w:eastAsia="仿宋" w:cs="仿宋"/>
                <w:sz w:val="28"/>
                <w:szCs w:val="28"/>
              </w:rPr>
              <w:t>部门</w:t>
            </w:r>
          </w:p>
          <w:p>
            <w:pPr>
              <w:spacing w:line="360" w:lineRule="exact"/>
              <w:jc w:val="center"/>
              <w:rPr>
                <w:rFonts w:ascii="仿宋" w:hAnsi="仿宋" w:eastAsia="仿宋" w:cs="仿宋"/>
                <w:sz w:val="28"/>
                <w:szCs w:val="28"/>
              </w:rPr>
            </w:pPr>
            <w:r>
              <w:rPr>
                <w:rFonts w:hint="eastAsia" w:ascii="仿宋" w:hAnsi="仿宋" w:eastAsia="仿宋" w:cs="仿宋"/>
                <w:sz w:val="28"/>
                <w:szCs w:val="28"/>
              </w:rPr>
              <w:t>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 xml:space="preserve">                             盖章：</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 xml:space="preserve">                                年   月   日</w:t>
            </w:r>
          </w:p>
        </w:tc>
      </w:tr>
    </w:tbl>
    <w:p>
      <w:pPr>
        <w:spacing w:line="580" w:lineRule="exact"/>
        <w:rPr>
          <w:rFonts w:ascii="仿宋" w:hAnsi="仿宋" w:eastAsia="仿宋" w:cs="仿宋"/>
          <w:b/>
          <w:sz w:val="28"/>
          <w:szCs w:val="28"/>
        </w:rPr>
      </w:pPr>
      <w:r>
        <w:rPr>
          <w:rFonts w:hint="eastAsia" w:ascii="仿宋" w:hAnsi="仿宋" w:eastAsia="仿宋" w:cs="仿宋"/>
          <w:sz w:val="28"/>
          <w:szCs w:val="28"/>
        </w:rPr>
        <w:t>注：专业代码按《办法》规定的专业目录填写。</w:t>
      </w:r>
    </w:p>
    <w:p>
      <w:pPr>
        <w:spacing w:after="156" w:afterLines="50" w:line="580" w:lineRule="exact"/>
        <w:jc w:val="center"/>
        <w:rPr>
          <w:rFonts w:ascii="仿宋" w:hAnsi="仿宋" w:eastAsia="仿宋" w:cs="仿宋"/>
          <w:sz w:val="28"/>
          <w:szCs w:val="28"/>
        </w:rPr>
      </w:pP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t>⒉学校基本情况</w:t>
      </w:r>
    </w:p>
    <w:tbl>
      <w:tblPr>
        <w:tblStyle w:val="1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663"/>
        <w:gridCol w:w="1221"/>
        <w:gridCol w:w="2637"/>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学校名称</w:t>
            </w:r>
          </w:p>
        </w:tc>
        <w:tc>
          <w:tcPr>
            <w:tcW w:w="1709"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江西开放大学</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学校地址</w:t>
            </w:r>
          </w:p>
        </w:tc>
        <w:tc>
          <w:tcPr>
            <w:tcW w:w="4394"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江西省南昌市洪都北大道86号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邮政编码</w:t>
            </w:r>
          </w:p>
        </w:tc>
        <w:tc>
          <w:tcPr>
            <w:tcW w:w="1709"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330046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校园网址</w:t>
            </w:r>
          </w:p>
        </w:tc>
        <w:tc>
          <w:tcPr>
            <w:tcW w:w="4394"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http://www.jxrtvu.com/main.htm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02"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在校生总数</w:t>
            </w:r>
          </w:p>
        </w:tc>
        <w:tc>
          <w:tcPr>
            <w:tcW w:w="2985"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390</w:t>
            </w:r>
          </w:p>
        </w:tc>
        <w:tc>
          <w:tcPr>
            <w:tcW w:w="2647"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专业平均年招生规模</w:t>
            </w:r>
          </w:p>
        </w:tc>
        <w:tc>
          <w:tcPr>
            <w:tcW w:w="1747" w:type="dxa"/>
            <w:tcBorders>
              <w:top w:val="single" w:color="auto" w:sz="4" w:space="0"/>
              <w:left w:val="single" w:color="auto" w:sz="4" w:space="0"/>
              <w:bottom w:val="single" w:color="auto" w:sz="4" w:space="0"/>
              <w:right w:val="single" w:color="auto" w:sz="4" w:space="0"/>
            </w:tcBorders>
          </w:tcPr>
          <w:p>
            <w:pPr>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学校办学类型</w:t>
            </w:r>
          </w:p>
        </w:tc>
        <w:tc>
          <w:tcPr>
            <w:tcW w:w="7379"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8"/>
                <w:szCs w:val="28"/>
              </w:rPr>
            </w:pPr>
            <w:r>
              <w:rPr>
                <w:rFonts w:hint="eastAsia" w:ascii="仿宋" w:hAnsi="仿宋" w:eastAsia="仿宋" w:cs="仿宋"/>
                <w:sz w:val="28"/>
                <w:szCs w:val="28"/>
              </w:rPr>
              <w:t xml:space="preserve">☑开放大学   </w:t>
            </w:r>
            <w:r>
              <w:rPr>
                <w:rFonts w:hint="eastAsia" w:ascii="仿宋" w:hAnsi="仿宋" w:eastAsia="仿宋" w:cs="仿宋"/>
                <w:sz w:val="28"/>
                <w:szCs w:val="28"/>
              </w:rPr>
              <w:sym w:font="Wingdings 2" w:char="0052"/>
            </w:r>
            <w:r>
              <w:rPr>
                <w:rFonts w:hint="eastAsia" w:ascii="仿宋" w:hAnsi="仿宋" w:eastAsia="仿宋" w:cs="仿宋"/>
                <w:sz w:val="28"/>
                <w:szCs w:val="28"/>
              </w:rPr>
              <w:t>独立设置成人高校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已有学科门类或专业大类</w:t>
            </w:r>
          </w:p>
        </w:tc>
        <w:tc>
          <w:tcPr>
            <w:tcW w:w="737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管理学科、经济学科、法学科、教育学科、文学科、工学科、农学科、医学科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财经商贸大类、教育与体育大类、公共管理与服务大类、土木建筑大类、电子信息大类、医药卫生大类、农林牧渔大类、公安与司法大类、装备制造大类、交通运输大类、生物与化工大类、能源动力与材料大类、水利大类、旅游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ind w:right="-105" w:rightChars="-50"/>
              <w:rPr>
                <w:rFonts w:ascii="仿宋" w:hAnsi="仿宋" w:eastAsia="仿宋" w:cs="仿宋"/>
                <w:sz w:val="28"/>
                <w:szCs w:val="28"/>
              </w:rPr>
            </w:pPr>
            <w:r>
              <w:rPr>
                <w:rFonts w:hint="eastAsia" w:ascii="仿宋" w:hAnsi="仿宋" w:eastAsia="仿宋" w:cs="仿宋"/>
                <w:sz w:val="28"/>
                <w:szCs w:val="28"/>
              </w:rPr>
              <w:t>专任教师</w:t>
            </w:r>
          </w:p>
          <w:p>
            <w:pPr>
              <w:spacing w:line="580" w:lineRule="exact"/>
              <w:jc w:val="center"/>
              <w:rPr>
                <w:rFonts w:ascii="仿宋" w:hAnsi="仿宋" w:eastAsia="仿宋" w:cs="仿宋"/>
                <w:sz w:val="28"/>
                <w:szCs w:val="28"/>
              </w:rPr>
            </w:pPr>
            <w:r>
              <w:rPr>
                <w:rFonts w:hint="eastAsia" w:ascii="仿宋" w:hAnsi="仿宋" w:eastAsia="仿宋" w:cs="仿宋"/>
                <w:sz w:val="28"/>
                <w:szCs w:val="28"/>
              </w:rPr>
              <w:t>总数（人）</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274</w:t>
            </w:r>
          </w:p>
        </w:tc>
        <w:tc>
          <w:tcPr>
            <w:tcW w:w="26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专任教师中副教授及以上职称教师所占比例</w:t>
            </w:r>
          </w:p>
        </w:tc>
        <w:tc>
          <w:tcPr>
            <w:tcW w:w="17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学校简介和</w:t>
            </w:r>
          </w:p>
          <w:p>
            <w:pPr>
              <w:spacing w:line="580" w:lineRule="exact"/>
              <w:jc w:val="center"/>
              <w:rPr>
                <w:rFonts w:ascii="仿宋" w:hAnsi="仿宋" w:eastAsia="仿宋" w:cs="仿宋"/>
                <w:sz w:val="28"/>
                <w:szCs w:val="28"/>
              </w:rPr>
            </w:pPr>
            <w:r>
              <w:rPr>
                <w:rFonts w:hint="eastAsia" w:ascii="仿宋" w:hAnsi="仿宋" w:eastAsia="仿宋" w:cs="仿宋"/>
                <w:sz w:val="28"/>
                <w:szCs w:val="28"/>
              </w:rPr>
              <w:t>历史沿革</w:t>
            </w:r>
          </w:p>
          <w:p>
            <w:pPr>
              <w:spacing w:line="580" w:lineRule="exact"/>
              <w:jc w:val="center"/>
              <w:rPr>
                <w:rFonts w:ascii="仿宋" w:hAnsi="仿宋" w:eastAsia="仿宋" w:cs="仿宋"/>
                <w:sz w:val="28"/>
                <w:szCs w:val="28"/>
              </w:rPr>
            </w:pPr>
            <w:r>
              <w:rPr>
                <w:rFonts w:hint="eastAsia" w:ascii="仿宋" w:hAnsi="仿宋" w:eastAsia="仿宋" w:cs="仿宋"/>
                <w:sz w:val="28"/>
                <w:szCs w:val="28"/>
              </w:rPr>
              <w:t>（300字以内）</w:t>
            </w:r>
          </w:p>
        </w:tc>
        <w:tc>
          <w:tcPr>
            <w:tcW w:w="7379" w:type="dxa"/>
            <w:gridSpan w:val="4"/>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江西开放大学是江西人民政府直属的，以促进终身学习为使命、以现代信息技术为支撑、以“互联网+”为特征、以系统办学为依托的新型高等学校。学校的前身是1979年1月创建的江西广播电视大学。2020年11月26日，江西省人民政府正式批准江西广播电视大学更名为江西开放大学。作为新型高等学校，学校由“大学+系统+平台”构成。“十三五”期间学历教育累计招生40余万人，为江西经济社会发展作出了积极贡献。建立了一支274人的高素质专业技术人员队伍，其中研究生学历或硕士学位以上163人，正高职称15人，副高职称73人。多项科研成果分别获得省社科成果奖、省教育科学优秀成果奖、省级教学成果奖、国家开放大学体系优秀科研成果奖一、二、三等奖，多名教师获得国家开放大学体系“科研贡献奖”和“青年学术新秀”。</w:t>
            </w:r>
          </w:p>
        </w:tc>
      </w:tr>
    </w:tbl>
    <w:p>
      <w:pPr>
        <w:spacing w:line="580" w:lineRule="exact"/>
        <w:rPr>
          <w:rFonts w:ascii="仿宋" w:hAnsi="仿宋" w:eastAsia="仿宋" w:cs="仿宋"/>
          <w:sz w:val="28"/>
          <w:szCs w:val="28"/>
        </w:rPr>
      </w:pPr>
      <w:r>
        <w:rPr>
          <w:rFonts w:hint="eastAsia" w:ascii="仿宋" w:hAnsi="仿宋" w:eastAsia="仿宋" w:cs="仿宋"/>
          <w:sz w:val="28"/>
          <w:szCs w:val="28"/>
        </w:rPr>
        <w:t>注：专业平均年招生规模=学校年招生数÷学校现有专业总数</w:t>
      </w: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3.增设专业的理由和基础</w:t>
      </w:r>
    </w:p>
    <w:tbl>
      <w:tblPr>
        <w:tblStyle w:val="1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131" w:hRule="atLeast"/>
          <w:jc w:val="center"/>
        </w:trPr>
        <w:tc>
          <w:tcPr>
            <w:tcW w:w="9000" w:type="dxa"/>
            <w:tcBorders>
              <w:top w:val="single" w:color="auto" w:sz="4" w:space="0"/>
              <w:left w:val="single" w:color="auto" w:sz="4" w:space="0"/>
              <w:bottom w:val="single" w:color="auto" w:sz="4" w:space="0"/>
              <w:right w:val="single" w:color="auto" w:sz="4" w:space="0"/>
            </w:tcBorders>
          </w:tcPr>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（包括申请增设专业的主要理由、专业筹建情况、学校专业发展规划及人才需求预测情况等方面的内容）</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一、药学专业本科的人才需求及专业发展前景</w:t>
            </w:r>
          </w:p>
          <w:p>
            <w:pPr>
              <w:ind w:firstLine="560" w:firstLineChars="200"/>
              <w:rPr>
                <w:rFonts w:ascii="仿宋" w:hAnsi="仿宋" w:eastAsia="仿宋" w:cs="仿宋"/>
                <w:sz w:val="28"/>
                <w:szCs w:val="28"/>
              </w:rPr>
            </w:pPr>
            <w:r>
              <w:rPr>
                <w:rFonts w:hint="eastAsia" w:ascii="仿宋" w:hAnsi="仿宋" w:eastAsia="仿宋" w:cs="仿宋"/>
                <w:sz w:val="28"/>
                <w:szCs w:val="28"/>
              </w:rPr>
              <w:t>医药产业被称为永不衰落的朝阳产业，是全国乃至全球发展最快的产业之一。医药行业是体现人们生活质量的重要行业，也是受到政策影响较大的行业之一。从医药行业整体来看，我国医药行业一直保持较快的增长速度, 自2019年以来，医药行业一直保持15%以上的高速增长且仍然处于上升趋势。</w:t>
            </w:r>
          </w:p>
          <w:p>
            <w:pPr>
              <w:ind w:firstLine="560" w:firstLineChars="200"/>
              <w:rPr>
                <w:rFonts w:ascii="仿宋" w:hAnsi="仿宋" w:eastAsia="仿宋" w:cs="仿宋"/>
                <w:sz w:val="28"/>
                <w:szCs w:val="28"/>
              </w:rPr>
            </w:pPr>
            <w:r>
              <w:rPr>
                <w:rFonts w:hint="eastAsia" w:ascii="仿宋" w:hAnsi="仿宋" w:eastAsia="仿宋" w:cs="仿宋"/>
                <w:sz w:val="28"/>
                <w:szCs w:val="28"/>
              </w:rPr>
              <w:t>“十二五规划”的出台也将成为医药行业快速发展的又一重要推进器，一系列方针将促进医药行业驶入快速发展的蓝海中。商务部在医药行业中的“十二五”规划中指出，形成1-3家年销售额过千亿的全国性大型医药商业集团, 20家年销售额过百亿的区域性药品流通企业;药品批发百强企业年销售额占药品批发总额85%以上，药品零售连锁百强企业年销售额占药品零售企业销售总额60%以上;连锁药店占全部零售门店的比重提高到2/3以上。县以下基层流通网络更加健全。骨干企业综合实力接近国际分销企业先进水平。</w:t>
            </w:r>
          </w:p>
          <w:p>
            <w:pPr>
              <w:ind w:firstLine="560" w:firstLineChars="200"/>
              <w:rPr>
                <w:rFonts w:ascii="仿宋" w:hAnsi="仿宋" w:eastAsia="仿宋" w:cs="仿宋"/>
                <w:sz w:val="28"/>
                <w:szCs w:val="28"/>
              </w:rPr>
            </w:pPr>
            <w:r>
              <w:rPr>
                <w:rFonts w:hint="eastAsia" w:ascii="仿宋" w:hAnsi="仿宋" w:eastAsia="仿宋" w:cs="仿宋"/>
                <w:sz w:val="28"/>
                <w:szCs w:val="28"/>
              </w:rPr>
              <w:t>《国家药品安全“十二五”规划》(以下简称《规划》)明确要求推动制订执业药师法。《规划》指出“自2012年开始，新开办的零售药店必须配备执业药师到‘十二五’末，所有零售药店法人或主要管理者必须具备执业药师资格，所有零售药店和医院药房营业时有执业药师指导合理用药，逾期达不到要求的，取消售药资格。”国家食品药品监督管理局也发出通知，要求切实做好执业药师政策宣传工作，重点是针对《规划》在完善执业药师制度、加强执业药师配备使用管理方面的内容。</w:t>
            </w:r>
          </w:p>
          <w:p>
            <w:pPr>
              <w:ind w:firstLine="560" w:firstLineChars="200"/>
              <w:rPr>
                <w:rFonts w:ascii="仿宋" w:hAnsi="仿宋" w:eastAsia="仿宋" w:cs="仿宋"/>
                <w:sz w:val="28"/>
                <w:szCs w:val="28"/>
              </w:rPr>
            </w:pPr>
            <w:r>
              <w:rPr>
                <w:rFonts w:hint="eastAsia" w:ascii="仿宋" w:hAnsi="仿宋" w:eastAsia="仿宋" w:cs="仿宋"/>
                <w:sz w:val="28"/>
                <w:szCs w:val="28"/>
              </w:rPr>
              <w:t>对于消费者来说，执业药师是安全、科学、经济用药的“守护神”。我国目前大约是每10万人口23.6名药学工作人员，是世界平均水平的1/3，是日本水平的1/5，在欧美等发达的国家，每800-1500人就配有一名执业药师，而我国，平均1.3万人才有一名执业药师。目前我国拥有执业药师资格的人数约为20万人次,注册药师人数为7.8万人次，分布在相关的药品生产、流通、使用领域，基本上三大领域各占三分之一。 那么，在流通领域的零售药店有多少呢?而与之相对应的是我国拥有2万所医院，43. 7万家药店。即使以每家零售药店至少配备一名执业药师计算, 缺口高达30多万。</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各高等院校办药学专业的由原来60多所学校发展到现在130多所学校，尽管如此每年各类学校培养的药学专业人员仅1万多人，远远满足不了需要。从北京中医药大学统计资料就业情况来看，近几年药学本科毕业生就业进行平稳，较少受就业市场冷热形势变化的影响，毕业生主要就业去向为医药卫生相关行业，一次就业率始终保持在80%以上，除此之外，全国其他药科专业的毕业生(如江西中医药大学、中国药科大学、沈阳药科大学、四川大学华西药学院、北京大学医学部药学院和广州中医药大学等)也呈现供不应求的局面，就业率均接近100%。 社会对药学类人才有较大的需求，然而药学类人才专业性比较强，难以被其他专业人才取代，而它的培养却与医药行业的高速发展不适应，人才数量的提供相对滞后。因此，药学人才供不应求。</w:t>
            </w:r>
          </w:p>
          <w:p>
            <w:pPr>
              <w:ind w:firstLine="560" w:firstLineChars="200"/>
              <w:rPr>
                <w:rFonts w:ascii="仿宋" w:hAnsi="仿宋" w:eastAsia="仿宋" w:cs="仿宋"/>
                <w:sz w:val="28"/>
                <w:szCs w:val="28"/>
              </w:rPr>
            </w:pPr>
            <w:r>
              <w:rPr>
                <w:rFonts w:hint="eastAsia" w:ascii="仿宋" w:hAnsi="仿宋" w:eastAsia="仿宋" w:cs="仿宋"/>
                <w:sz w:val="28"/>
                <w:szCs w:val="28"/>
              </w:rPr>
              <w:t>2020年新冠疫情的暴发给国内和全球经济带来了重大冲击，但与此同时多个领域也迎来了新的发展机遇。毋庸置疑，疫情使人们比以往任何时候都更加关注健康问题。在国内政策和行业红利的共同驱动下，药学领域的招聘市场格局将在后疫情时代发生转变，并会涌现更多新的岗位和机遇。近年来，随着我国迈入中高收入国家的行列，医疗卫生健康事业也随之蓬勃发展，行业内正齐心协力向着更高质量、更有效率、更加公平、更可持续、更为安全的方向发展。尤其后疫情时代，药学行业面临着更广阔的发展机遇，在为国家健康、人民安全做贡献的同时，也逐步积极推动着医药行业由制造向创造转变、由产品向品牌转变。同时，行业的向好发展，使得业内对高层次人才的需求逐步攀升，存在人才难求的瓶颈。随着医药产业的迅速迭代，人才竞争将愈加激烈。</w:t>
            </w:r>
          </w:p>
          <w:p>
            <w:pPr>
              <w:ind w:firstLine="560" w:firstLineChars="200"/>
              <w:rPr>
                <w:rFonts w:ascii="仿宋" w:hAnsi="仿宋" w:eastAsia="仿宋" w:cs="仿宋"/>
                <w:sz w:val="28"/>
                <w:szCs w:val="28"/>
              </w:rPr>
            </w:pPr>
            <w:r>
              <w:rPr>
                <w:rFonts w:hint="eastAsia" w:ascii="仿宋" w:hAnsi="仿宋" w:eastAsia="仿宋" w:cs="仿宋"/>
                <w:sz w:val="28"/>
                <w:szCs w:val="28"/>
              </w:rPr>
              <w:t>随着医药</w:t>
            </w:r>
            <w:r>
              <w:rPr>
                <w:rFonts w:ascii="仿宋" w:hAnsi="仿宋" w:eastAsia="仿宋" w:cs="仿宋"/>
                <w:sz w:val="28"/>
                <w:szCs w:val="28"/>
              </w:rPr>
              <w:t>行业的快速发展，医药企业之间的竞争越来越烈，医药企业对药学专业毕业生的需求量逐年增加，对毕业生要求也越来越高</w:t>
            </w:r>
            <w:r>
              <w:rPr>
                <w:rFonts w:hint="eastAsia" w:ascii="仿宋" w:hAnsi="仿宋" w:eastAsia="仿宋" w:cs="仿宋"/>
                <w:sz w:val="28"/>
                <w:szCs w:val="28"/>
              </w:rPr>
              <w:t>。尤其是规模较大的跨国与本土企业越来越重视校园招聘。医药企业医药代表的入门收入相比之下要高一些，但医生收入稳定、社会地位高，再加上专业对口的关系，众多医学专业毕业生宁愿以入门时较低的薪水来换一份稳定的职业。企业愿意通过校园招聘，招募合格、有潜质的毕业生，从而培养新人，达到人才储备、缓解人才紧缺的目的。</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目前我国的执业药师不仅数量奇缺，而且分布不合理。从地区分布看，70%执业药师主要集中在东南沿海地区，西部地区人数很少。江西开放大学位于江西省南昌市，开设药学专业本科，恰好能为江西省经济发展培养和输送高级的药学应用型人才，这将改善和推动江西及周边地区医药卫生事业及医药经济的发展。</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二、开办药学专业本科所具备的条件</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(一)师资力量</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我校自建校，已走过了几十年发展历程,现已开办护理等专业(含专业方向)，现有师资274人，其中研究生学历或硕士学位以上163人，正高职称15人，副高职称73人。</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我校药学专业现有教研室(无机化学与有机化学、药理学、药物化学与药物分析、中药学与药剂学)和实验教学中心(化学实验教学中心和药学实验教学中心)。有教授、副教授、讲师、助教、实验技术员。在多年的教学改革与实践中，形成了一支年龄和职称结构合理、梯队完整，长期从事本科教学工作，特色鲜明的教学团队。</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(二)教学实验条件</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我校现有教学仪器设备，教学科研仪器设备。药学专业现有化学实验教学中心和药学实验教学中心。实验教学中心有实验室，承担药学专业本科病理生理学、病理学（本）、医学统计学、医学心理学、中医药学概论、临床医学概论、调剂学、药剂学（本）、临床药理学、药物治疗学（本）、药事管理与法规（本）、健康教育与健康促进、药学住处检索等课程的实践教学任务。学校高度重视药学系的建设，随着人力、财力和物力的继续投入，以后将为教学科研设备项目的实施，添置更多的设备，以及进行细胞培养和分子生物化学实验设备的到位，我们药学专业的科研及专业课程的实践教学的条件和能力会得到进一步的完善或加强。</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(三)我校教室、图书、学生宿舍、学生饭堂、体育设施等办学条件</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1、我校在校生总数13.9万(其中每年有几百位学生在实习医院实习)，现有教室容量为1000多座位。多媒体教室和语音教室座位数为1000多个。</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2、我校图书馆馆藏纸质图书达2万多册，形成了一个有专有博、有主有从，适应学校各个专业学科发展需要的藏书体系。</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3、我校学生宿舍在原基础上，可容纳1000多人的学生公寓。</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4、学生食堂投入使用座可容纳1000多人就餐的学生食堂。</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5、学校现有塑胶跑道标准田径场1个，标准足球场1个，篮球场1个，排球场1个，室外羽毛球场2个，网球场2个，门球场1个。体育训练中心，内设有篮球场1个，羽毛球场,1个，排球场1个，乒乓球训练场地4个，健身场地1个，大学生体质健康测试中心(实验室) 1个。各类体育设施齐全，有专项训练场地，能够满足体育教学、课外体育活动和专项体育训练的需要。</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(四)实习教学基地</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我校有多所附属医院。附属医院设有功能齐全的医技科室和管理科室，在区内、外各地、市尚有教学、实习医院，实习药厂和医药公司等，能满足药学专业学生毕业实习教学的需要。</w:t>
            </w:r>
          </w:p>
          <w:p>
            <w:pPr>
              <w:pStyle w:val="5"/>
              <w:spacing w:line="360" w:lineRule="auto"/>
              <w:ind w:firstLine="560" w:firstLineChars="200"/>
              <w:jc w:val="center"/>
              <w:rPr>
                <w:rFonts w:ascii="仿宋" w:hAnsi="仿宋" w:eastAsia="仿宋" w:cs="仿宋"/>
                <w:kern w:val="2"/>
                <w:sz w:val="28"/>
                <w:szCs w:val="28"/>
              </w:rPr>
            </w:pPr>
            <w:r>
              <w:rPr>
                <w:rFonts w:hint="eastAsia" w:ascii="仿宋" w:hAnsi="仿宋" w:eastAsia="仿宋" w:cs="仿宋"/>
                <w:kern w:val="2"/>
                <w:sz w:val="28"/>
                <w:szCs w:val="28"/>
              </w:rPr>
              <w:t>表 药学专业实习实训基地情况</w:t>
            </w: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808"/>
              <w:gridCol w:w="2027"/>
              <w:gridCol w:w="1701"/>
              <w:gridCol w:w="155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3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szCs w:val="21"/>
                    </w:rPr>
                  </w:pPr>
                  <w:r>
                    <w:rPr>
                      <w:rFonts w:hint="eastAsia" w:ascii="仿宋" w:hAnsi="仿宋" w:eastAsia="仿宋" w:cs="仿宋"/>
                      <w:szCs w:val="21"/>
                    </w:rPr>
                    <w:t>专业实习实训基地情况</w:t>
                  </w:r>
                </w:p>
              </w:tc>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序号</w:t>
                  </w:r>
                </w:p>
              </w:tc>
              <w:tc>
                <w:tcPr>
                  <w:tcW w:w="202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实训室/实训基地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合作单位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校内/外</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仿宋" w:hAnsi="仿宋" w:eastAsia="仿宋" w:cs="仿宋"/>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1</w:t>
                  </w:r>
                </w:p>
              </w:tc>
              <w:tc>
                <w:tcPr>
                  <w:tcW w:w="202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上饶协和医院教学实践基地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自有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校外</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药学专业实训、实习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仿宋" w:hAnsi="仿宋" w:eastAsia="仿宋" w:cs="仿宋"/>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2</w:t>
                  </w:r>
                </w:p>
              </w:tc>
              <w:tc>
                <w:tcPr>
                  <w:tcW w:w="20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仿宋" w:hAnsi="仿宋" w:eastAsia="仿宋" w:cs="仿宋"/>
                      <w:szCs w:val="21"/>
                    </w:rPr>
                  </w:pPr>
                  <w:r>
                    <w:rPr>
                      <w:rFonts w:hint="eastAsia" w:ascii="仿宋" w:hAnsi="仿宋" w:eastAsia="仿宋" w:cs="仿宋"/>
                      <w:szCs w:val="21"/>
                    </w:rPr>
                    <w:t>益丰大药房教学实践基地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Cs w:val="21"/>
                    </w:rPr>
                  </w:pPr>
                  <w:r>
                    <w:rPr>
                      <w:rFonts w:hint="eastAsia" w:ascii="仿宋" w:hAnsi="仿宋" w:eastAsia="仿宋" w:cs="仿宋"/>
                      <w:szCs w:val="21"/>
                    </w:rPr>
                    <w:t>益丰大药房</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Cs w:val="21"/>
                    </w:rPr>
                  </w:pPr>
                  <w:r>
                    <w:rPr>
                      <w:rFonts w:hint="eastAsia" w:ascii="仿宋" w:hAnsi="仿宋" w:eastAsia="仿宋" w:cs="仿宋"/>
                      <w:szCs w:val="21"/>
                    </w:rPr>
                    <w:t>校外</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jc w:val="center"/>
                    <w:textAlignment w:val="center"/>
                    <w:rPr>
                      <w:rFonts w:hint="eastAsia" w:ascii="仿宋" w:hAnsi="仿宋" w:eastAsia="仿宋" w:cs="仿宋"/>
                      <w:szCs w:val="21"/>
                    </w:rPr>
                  </w:pPr>
                  <w:r>
                    <w:rPr>
                      <w:rFonts w:hint="eastAsia" w:ascii="仿宋" w:hAnsi="仿宋" w:eastAsia="仿宋" w:cs="仿宋"/>
                      <w:szCs w:val="21"/>
                    </w:rPr>
                    <w:t>药学专业实训、实习</w:t>
                  </w:r>
                </w:p>
              </w:tc>
            </w:tr>
          </w:tbl>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多年来，我们不断积蓄了承办药学专业的力量和积累教学及管理的经验，已拥有相当实力的师资队伍和在校内、外进行药学专业实践教学的资源或平台。我们从社会用人单位对本院毕业生的良好评价中获得了开办药学专业的力量和自信。我们已具有开办药学本科专业的良好基础，己具备开办药学本科专业的条件、能力和实力，我们定能办好成人高等教育药学</w:t>
            </w:r>
            <w:r>
              <w:rPr>
                <w:rFonts w:hint="eastAsia" w:ascii="仿宋" w:hAnsi="仿宋" w:eastAsia="仿宋" w:cs="仿宋"/>
                <w:sz w:val="28"/>
                <w:szCs w:val="28"/>
                <w:lang w:val="en-US" w:eastAsia="zh-CN"/>
              </w:rPr>
              <w:t>本科</w:t>
            </w:r>
            <w:r>
              <w:rPr>
                <w:rFonts w:hint="eastAsia" w:ascii="仿宋" w:hAnsi="仿宋" w:eastAsia="仿宋" w:cs="仿宋"/>
                <w:sz w:val="28"/>
                <w:szCs w:val="28"/>
              </w:rPr>
              <w:t>专业。</w:t>
            </w:r>
          </w:p>
        </w:tc>
      </w:tr>
    </w:tbl>
    <w:p>
      <w:pPr>
        <w:spacing w:after="156" w:afterLines="50" w:line="580" w:lineRule="exact"/>
        <w:jc w:val="center"/>
        <w:rPr>
          <w:rFonts w:ascii="仿宋" w:hAnsi="仿宋" w:eastAsia="仿宋" w:cs="仿宋"/>
          <w:bCs/>
          <w:spacing w:val="20"/>
          <w:sz w:val="28"/>
          <w:szCs w:val="28"/>
        </w:rPr>
      </w:pPr>
      <w:r>
        <w:rPr>
          <w:rFonts w:hint="eastAsia" w:ascii="仿宋" w:hAnsi="仿宋" w:eastAsia="仿宋" w:cs="仿宋"/>
          <w:b/>
          <w:bCs/>
          <w:sz w:val="28"/>
          <w:szCs w:val="28"/>
        </w:rPr>
        <w:br w:type="page"/>
      </w:r>
      <w:r>
        <w:rPr>
          <w:rFonts w:hint="eastAsia" w:ascii="仿宋" w:hAnsi="仿宋" w:eastAsia="仿宋" w:cs="仿宋"/>
          <w:bCs/>
          <w:sz w:val="28"/>
          <w:szCs w:val="28"/>
        </w:rPr>
        <w:t>4.增设专业人才培养方案</w:t>
      </w:r>
    </w:p>
    <w:tbl>
      <w:tblPr>
        <w:tblStyle w:val="1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8" w:hRule="atLeast"/>
          <w:jc w:val="center"/>
        </w:trPr>
        <w:tc>
          <w:tcPr>
            <w:tcW w:w="8820" w:type="dxa"/>
            <w:tcBorders>
              <w:top w:val="single" w:color="auto" w:sz="4" w:space="0"/>
              <w:left w:val="single" w:color="auto" w:sz="4" w:space="0"/>
              <w:bottom w:val="single" w:color="auto" w:sz="4" w:space="0"/>
              <w:right w:val="single" w:color="auto" w:sz="4" w:space="0"/>
            </w:tcBorders>
          </w:tcPr>
          <w:p>
            <w:pPr>
              <w:pStyle w:val="11"/>
              <w:rPr>
                <w:rFonts w:ascii="仿宋" w:hAnsi="仿宋" w:eastAsia="仿宋" w:cs="仿宋"/>
                <w:b/>
                <w:bCs/>
                <w:color w:val="000000" w:themeColor="text1"/>
                <w:kern w:val="0"/>
                <w:sz w:val="28"/>
                <w:szCs w:val="28"/>
                <w14:textFill>
                  <w14:solidFill>
                    <w14:schemeClr w14:val="tx1"/>
                  </w14:solidFill>
                </w14:textFill>
              </w:rPr>
            </w:pPr>
            <w:bookmarkStart w:id="0" w:name="_Toc97028053"/>
            <w:r>
              <w:rPr>
                <w:rFonts w:hint="eastAsia" w:ascii="仿宋" w:hAnsi="仿宋" w:eastAsia="仿宋" w:cs="仿宋"/>
                <w:b/>
                <w:bCs/>
                <w:color w:val="000000" w:themeColor="text1"/>
                <w:sz w:val="28"/>
                <w:szCs w:val="28"/>
                <w14:textFill>
                  <w14:solidFill>
                    <w14:schemeClr w14:val="tx1"/>
                  </w14:solidFill>
                </w14:textFill>
              </w:rPr>
              <w:t>医药卫生</w:t>
            </w:r>
            <w:r>
              <w:rPr>
                <w:rFonts w:hint="eastAsia" w:ascii="仿宋" w:hAnsi="仿宋" w:eastAsia="仿宋" w:cs="仿宋"/>
                <w:b/>
                <w:bCs/>
                <w:color w:val="000000" w:themeColor="text1"/>
                <w:kern w:val="0"/>
                <w:sz w:val="28"/>
                <w:szCs w:val="28"/>
                <w14:textFill>
                  <w14:solidFill>
                    <w14:schemeClr w14:val="tx1"/>
                  </w14:solidFill>
                </w14:textFill>
              </w:rPr>
              <w:t>大类医药类</w:t>
            </w:r>
            <w:bookmarkEnd w:id="0"/>
          </w:p>
          <w:p>
            <w:pPr>
              <w:pStyle w:val="11"/>
              <w:rPr>
                <w:rFonts w:ascii="仿宋" w:hAnsi="仿宋" w:eastAsia="仿宋" w:cs="仿宋"/>
                <w:b/>
                <w:bCs/>
                <w:color w:val="000000" w:themeColor="text1"/>
                <w:sz w:val="28"/>
                <w:szCs w:val="28"/>
                <w14:textFill>
                  <w14:solidFill>
                    <w14:schemeClr w14:val="tx1"/>
                  </w14:solidFill>
                </w14:textFill>
              </w:rPr>
            </w:pPr>
            <w:bookmarkStart w:id="1" w:name="_Toc97028054"/>
            <w:r>
              <w:rPr>
                <w:rFonts w:hint="eastAsia" w:ascii="仿宋" w:hAnsi="仿宋" w:eastAsia="仿宋" w:cs="仿宋"/>
                <w:b/>
                <w:bCs/>
                <w:color w:val="000000" w:themeColor="text1"/>
                <w:sz w:val="28"/>
                <w:szCs w:val="28"/>
                <w14:textFill>
                  <w14:solidFill>
                    <w14:schemeClr w14:val="tx1"/>
                  </w14:solidFill>
                </w14:textFill>
              </w:rPr>
              <w:t>药学本科成人业余专业人才培养方案</w:t>
            </w:r>
            <w:bookmarkEnd w:id="1"/>
          </w:p>
          <w:p>
            <w:pPr>
              <w:jc w:val="center"/>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w:t>
            </w:r>
            <w:r>
              <w:rPr>
                <w:rFonts w:hint="eastAsia" w:ascii="仿宋" w:hAnsi="仿宋" w:eastAsia="仿宋" w:cs="仿宋"/>
                <w:b/>
                <w:color w:val="000000" w:themeColor="text1"/>
                <w:sz w:val="28"/>
                <w:szCs w:val="28"/>
                <w:lang w:val="en-US" w:eastAsia="zh-CN"/>
                <w14:textFill>
                  <w14:solidFill>
                    <w14:schemeClr w14:val="tx1"/>
                  </w14:solidFill>
                </w14:textFill>
              </w:rPr>
              <w:t>专业代码：100701）</w:t>
            </w:r>
          </w:p>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一、专业名称、专业层次、专业所属专业大类</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（一）专业名称：药学</w:t>
            </w:r>
          </w:p>
          <w:p>
            <w:pPr>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（二）专业层次：本科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专科起点）</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（三）专业所属学科门类：医药卫生大类</w:t>
            </w:r>
          </w:p>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二、入学要求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（一）普通高校、高职院校等专业学校专科毕业生且专科起点升本科成人高考</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考试成绩达到投档分数线者，由学校根据本专业的专业计划，依据考生志愿从高分到低分择优录取。</w:t>
            </w:r>
          </w:p>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三、培养目标与培养要求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（一）培养目标</w:t>
            </w:r>
          </w:p>
          <w:p>
            <w:pPr>
              <w:ind w:firstLine="560" w:firstLineChars="200"/>
              <w:rPr>
                <w:rFonts w:ascii="仿宋" w:hAnsi="仿宋" w:eastAsia="仿宋" w:cs="仿宋"/>
                <w:color w:val="000000" w:themeColor="text1"/>
                <w:sz w:val="28"/>
                <w:szCs w:val="28"/>
                <w14:textFill>
                  <w14:solidFill>
                    <w14:schemeClr w14:val="tx1"/>
                  </w14:solidFill>
                </w14:textFill>
              </w:rPr>
            </w:pPr>
            <w:bookmarkStart w:id="2" w:name="OLE_LINK2"/>
            <w:r>
              <w:rPr>
                <w:rFonts w:hint="eastAsia" w:ascii="仿宋" w:hAnsi="仿宋" w:eastAsia="仿宋" w:cs="仿宋"/>
                <w:color w:val="000000" w:themeColor="text1"/>
                <w:sz w:val="28"/>
                <w:szCs w:val="28"/>
                <w14:textFill>
                  <w14:solidFill>
                    <w14:schemeClr w14:val="tx1"/>
                  </w14:solidFill>
                </w14:textFill>
              </w:rPr>
              <w:t>本专业培养理想信念坚定，德、智、体、美、劳全面发展，具有一定的科学文化水平、人文素养、职业道德和创新意识，精益求精的工匠精神，较强的就业能力和可持续发展能力，掌握药理、药物制剂、药物检测、药学服务、药事管理等系统理论知识，具备药品各剂型生产、药品检验、药品调剂等技能，面向药品生产、检验、流通、使用和管理等领域，从事中西药生产、质量检验、质量管理、药品采购、药品销售、用药指导、药品调剂、药品监督管理等工作的高素质技术技能人才。</w:t>
            </w:r>
            <w:bookmarkEnd w:id="2"/>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（二）培养要求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本专业毕业生应在素质、知识和能力等方面达到以下要求：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（1）素质</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1.坚定拥护中国共产党领导和我国社会主义制度，在习近平新时代中国特色社会主义思想指引下，践行社会主义核心价值观，具有深厚的爱国情感和中华民族自豪感。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2.崇尚宪法、遵法守纪、崇德向善、诚实守信、尊重生命、热爱劳动，履行道德准则和行为规范，具有社会责任感和社会参与意识。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3.具有质量意识、环保意识、安全意识、信息素养、工匠精神、创新思维。</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4.勇于奋斗、乐观向上，具有自我管理能力、职业生涯规划的意识，有较强的集体意识和团队合作精神。</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5.具有健康的体魄、心理和健全的人格，掌握基本运动知识和1-2项运动技能，养成良好的健身与卫生习惯，以及良好的行为习惯。</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6.具有一定的审美和人文素养，能够形成1-2项艺术特长或爱好。</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(2)知识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1.公共基础知识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（1）掌握必备的思想政治理论、科学文化基础知识和中华优秀传统文化知识。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（2）掌握体育与健康、英语、计算机等公共知识。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（3）掌握国防安全教育常识、心理健康知识、创新创业知识。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（4）熟悉与本专业相关的法律法规以及环境保护、安全消防等知识。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2.专业知识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（1）掌握必需的化学、药理学、医学基础理论知识。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（2）掌握药品调剂、药学服务及医院药学的基本知识。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（3）掌握药物制剂的基本工艺知识、常见剂型的制备技术和制剂设备使用方法。</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（4）掌握药品质量检验的基本知识和常用检验仪器的使用方法。</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（5）掌握药品流通与管理基本理论和基本方法。</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（6）掌握常用天然药物的性状、显微特征、功效、临床应用和炮制方法。</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（7）掌握药品生产、流通、使用过程中的基本法律法规知识。</w:t>
            </w:r>
          </w:p>
          <w:p>
            <w:pPr>
              <w:ind w:left="559" w:leftChars="266"/>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(三)能力</w:t>
            </w:r>
            <w:r>
              <w:rPr>
                <w:rFonts w:hint="eastAsia" w:ascii="仿宋" w:hAnsi="仿宋" w:eastAsia="仿宋" w:cs="仿宋"/>
                <w:color w:val="000000" w:themeColor="text1"/>
                <w:sz w:val="28"/>
                <w:szCs w:val="28"/>
                <w14:textFill>
                  <w14:solidFill>
                    <w14:schemeClr w14:val="tx1"/>
                  </w14:solidFill>
                </w14:textFill>
              </w:rPr>
              <w:br w:type="textWrapping"/>
            </w:r>
            <w:r>
              <w:rPr>
                <w:rFonts w:hint="eastAsia" w:ascii="仿宋" w:hAnsi="仿宋" w:eastAsia="仿宋" w:cs="仿宋"/>
                <w:color w:val="000000" w:themeColor="text1"/>
                <w:sz w:val="28"/>
                <w:szCs w:val="28"/>
                <w14:textFill>
                  <w14:solidFill>
                    <w14:schemeClr w14:val="tx1"/>
                  </w14:solidFill>
                </w14:textFill>
              </w:rPr>
              <w:t>1.通用能力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（1）具有探究学习、终身学习、分析问题和解决问题的能力。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（2）具有良好的语言、文字表达能力和沟通能力。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（3）具有独立思考、逻辑推理、信息加工能力、团队协作能力。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（4）具有较强的信息技术应用能力。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2.专业能力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（1）能够进行药品处方审核、调配和用药指导。</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（2）能够进行药物制剂生产和质量控制。</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（3）能够进行药品质量检验。</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（4）能够操作、使用常用制剂设备和仪器。</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（5）能够进行实验室仪器设备使用、管理、维护。</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（6）能够进行药品采购与销售、收货与验收、保管与养护、仓储配送。</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（7）能够进行天然药物的真伪优劣鉴定和炮制。</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（8）能够进行文献检索和信息整理，具有一定的科学研究能力。</w:t>
            </w:r>
          </w:p>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四、培养规格</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（一）修业年限：本专业学制2.5年，</w:t>
            </w:r>
            <w:r>
              <w:rPr>
                <w:rFonts w:hint="eastAsia" w:ascii="仿宋" w:hAnsi="仿宋" w:eastAsia="仿宋"/>
                <w:color w:val="000000"/>
                <w:sz w:val="28"/>
                <w:szCs w:val="28"/>
              </w:rPr>
              <w:t>最</w:t>
            </w:r>
            <w:r>
              <w:rPr>
                <w:rFonts w:hint="eastAsia" w:ascii="仿宋" w:hAnsi="仿宋" w:eastAsia="仿宋"/>
                <w:color w:val="000000"/>
                <w:sz w:val="28"/>
                <w:szCs w:val="28"/>
                <w:lang w:val="en-US" w:eastAsia="zh-CN"/>
              </w:rPr>
              <w:t>长</w:t>
            </w:r>
            <w:r>
              <w:rPr>
                <w:rFonts w:hint="eastAsia" w:ascii="仿宋" w:hAnsi="仿宋" w:eastAsia="仿宋"/>
                <w:color w:val="000000"/>
                <w:sz w:val="28"/>
                <w:szCs w:val="28"/>
              </w:rPr>
              <w:t>学习年限不</w:t>
            </w:r>
            <w:r>
              <w:rPr>
                <w:rFonts w:hint="eastAsia" w:ascii="仿宋" w:hAnsi="仿宋" w:eastAsia="仿宋"/>
                <w:color w:val="000000"/>
                <w:sz w:val="28"/>
                <w:szCs w:val="28"/>
                <w:lang w:val="en-US" w:eastAsia="zh-CN"/>
              </w:rPr>
              <w:t>高</w:t>
            </w:r>
            <w:r>
              <w:rPr>
                <w:rFonts w:hint="eastAsia" w:ascii="仿宋" w:hAnsi="仿宋" w:eastAsia="仿宋"/>
                <w:color w:val="000000"/>
                <w:sz w:val="28"/>
                <w:szCs w:val="28"/>
              </w:rPr>
              <w:t>于</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年</w:t>
            </w:r>
            <w:bookmarkStart w:id="4" w:name="_GoBack"/>
            <w:bookmarkEnd w:id="4"/>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（二）学习形式：成人业余。</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（三）总学时学分：</w:t>
            </w:r>
            <w:r>
              <w:rPr>
                <w:rFonts w:hint="eastAsia" w:ascii="仿宋" w:hAnsi="仿宋" w:eastAsia="仿宋" w:cs="仿宋"/>
                <w:color w:val="000000" w:themeColor="text1"/>
                <w:sz w:val="28"/>
                <w:szCs w:val="28"/>
                <w:lang w:val="en-US" w:eastAsia="zh-CN"/>
                <w14:textFill>
                  <w14:solidFill>
                    <w14:schemeClr w14:val="tx1"/>
                  </w14:solidFill>
                </w14:textFill>
              </w:rPr>
              <w:t>1620</w:t>
            </w:r>
            <w:r>
              <w:rPr>
                <w:rFonts w:hint="eastAsia" w:ascii="仿宋" w:hAnsi="仿宋" w:eastAsia="仿宋" w:cs="仿宋"/>
                <w:color w:val="000000" w:themeColor="text1"/>
                <w:sz w:val="28"/>
                <w:szCs w:val="28"/>
                <w14:textFill>
                  <w14:solidFill>
                    <w14:schemeClr w14:val="tx1"/>
                  </w14:solidFill>
                </w14:textFill>
              </w:rPr>
              <w:t>学时，</w:t>
            </w:r>
            <w:r>
              <w:rPr>
                <w:rFonts w:hint="eastAsia" w:ascii="仿宋" w:hAnsi="仿宋" w:eastAsia="仿宋" w:cs="仿宋"/>
                <w:color w:val="000000" w:themeColor="text1"/>
                <w:sz w:val="28"/>
                <w:szCs w:val="28"/>
                <w:lang w:val="en-US" w:eastAsia="zh-CN"/>
                <w14:textFill>
                  <w14:solidFill>
                    <w14:schemeClr w14:val="tx1"/>
                  </w14:solidFill>
                </w14:textFill>
              </w:rPr>
              <w:t>90</w:t>
            </w:r>
            <w:r>
              <w:rPr>
                <w:rFonts w:hint="eastAsia" w:ascii="仿宋" w:hAnsi="仿宋" w:eastAsia="仿宋" w:cs="仿宋"/>
                <w:color w:val="000000" w:themeColor="text1"/>
                <w:sz w:val="28"/>
                <w:szCs w:val="28"/>
                <w14:textFill>
                  <w14:solidFill>
                    <w14:schemeClr w14:val="tx1"/>
                  </w14:solidFill>
                </w14:textFill>
              </w:rPr>
              <w:t>学分</w:t>
            </w:r>
          </w:p>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五、课程体系说明</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（一）课程模块设置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本专业共设置</w:t>
            </w: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个模块，分别是思想政治理论课、公共基础课、专业基础课、专业课、通识课、企业特色课、技能实践课。</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（二）课程设置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1.思想政治理论课模块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必修课：习近平新时代中国特色社会主义思想概论、中国近代史纲要、思想道德与法治、马克思主义基本原理、毛泽东思想和中国特色社会主义理论体系概论、形势与政策。</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2.公共基础课模块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(1)必修课：入学教育、计算机应用基础（本）、大学英语（</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(2)选修课：大学英语（</w:t>
            </w: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3.专业基础课模块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 必修课：病理生理学、药理学（本）。</w:t>
            </w:r>
          </w:p>
          <w:p>
            <w:pPr>
              <w:pStyle w:val="2"/>
              <w:ind w:firstLine="560" w:firstLineChars="200"/>
              <w:rPr>
                <w:rFonts w:hint="eastAsia"/>
              </w:rPr>
            </w:pPr>
            <w:r>
              <w:rPr>
                <w:rFonts w:hint="eastAsia" w:ascii="仿宋" w:hAnsi="仿宋" w:eastAsia="仿宋" w:cs="仿宋"/>
                <w:color w:val="000000" w:themeColor="text1"/>
                <w:sz w:val="28"/>
                <w:szCs w:val="28"/>
                <w14:textFill>
                  <w14:solidFill>
                    <w14:schemeClr w14:val="tx1"/>
                  </w14:solidFill>
                </w14:textFill>
              </w:rPr>
              <w:t>(2)选修课：医学统计学、医学心理学、中医药学概论。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.专业课程</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 必修课：临床医学概论、调剂学、药剂学（本）、临床药理学、药物治疗学（本）。</w:t>
            </w:r>
          </w:p>
          <w:p>
            <w:pPr>
              <w:pStyle w:val="2"/>
              <w:ind w:firstLine="560" w:firstLineChars="200"/>
              <w:rPr>
                <w:rFonts w:hint="eastAsia"/>
              </w:rPr>
            </w:pPr>
            <w:r>
              <w:rPr>
                <w:rFonts w:hint="eastAsia" w:ascii="仿宋" w:hAnsi="仿宋" w:eastAsia="仿宋" w:cs="仿宋"/>
                <w:color w:val="000000" w:themeColor="text1"/>
                <w:sz w:val="28"/>
                <w:szCs w:val="28"/>
                <w14:textFill>
                  <w14:solidFill>
                    <w14:schemeClr w14:val="tx1"/>
                  </w14:solidFill>
                </w14:textFill>
              </w:rPr>
              <w:t>(2)选修课：药事管理与法规（本）、健康教育与健康促进、药学信息检索。</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.通识课模块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含社会科学、自然科学、人文艺术等基础知识，实行专本一体化设置。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(1)必修课：江西红色文化（本）。</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(2)选修课：常见心理问题与危机应对。</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.企业特色课模块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必修课：根据本专业特点开设企业特色课程。</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.技能实践课</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思想政治理论课实践、专业实习（药学本）、毕业论文（药学本）。</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（三）课程说明</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1.习近平新时代中国特色社会主义思想概论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本课程3学分，共54学时（理论5</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），开设一学期。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习近平新时代中国特色社会主义思想概论》是江西开放大学面向本科各专业学生开设的一门思想政治理论必修课程。通过本课程的学习，学生能系统地掌握习近平新时代中国特色社会主义思想的形成背景、主要内容及其历史地位，从而自觉地投身于中国特色社会主义的伟大建设实践，为中国人民谋幸福，为中华民族谋复兴。</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特色社会主义进入新时代的发展战略；中国智慧、中国方案；中国特色社会主义进入新时代的军队建设；时代先锋、世界脊梁；中国特色社会主义进入新时代的党的建设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.中国近现代史纲要</w:t>
            </w:r>
          </w:p>
          <w:p>
            <w:pPr>
              <w:ind w:firstLine="560" w:firstLineChars="200"/>
              <w:rPr>
                <w:szCs w:val="21"/>
              </w:rPr>
            </w:pPr>
            <w:r>
              <w:rPr>
                <w:rFonts w:hint="eastAsia" w:ascii="仿宋" w:hAnsi="仿宋" w:eastAsia="仿宋" w:cs="仿宋"/>
                <w:color w:val="000000" w:themeColor="text1"/>
                <w:sz w:val="28"/>
                <w:szCs w:val="28"/>
                <w14:textFill>
                  <w14:solidFill>
                    <w14:schemeClr w14:val="tx1"/>
                  </w14:solidFill>
                </w14:textFill>
              </w:rPr>
              <w:t>本课程3学分，共54学时</w:t>
            </w:r>
            <w:r>
              <w:rPr>
                <w:rFonts w:ascii="仿宋" w:hAnsi="仿宋" w:eastAsia="仿宋" w:cs="仿宋"/>
                <w:color w:val="000000" w:themeColor="text1"/>
                <w:sz w:val="28"/>
                <w:szCs w:val="28"/>
                <w14:textFill>
                  <w14:solidFill>
                    <w14:schemeClr w14:val="tx1"/>
                  </w14:solidFill>
                </w14:textFill>
              </w:rPr>
              <w:t>（理论36学时，实践18学时）</w:t>
            </w:r>
            <w:r>
              <w:rPr>
                <w:rFonts w:hint="eastAsia" w:ascii="仿宋" w:hAnsi="仿宋" w:eastAsia="仿宋" w:cs="仿宋"/>
                <w:color w:val="000000" w:themeColor="text1"/>
                <w:sz w:val="28"/>
                <w:szCs w:val="28"/>
                <w14:textFill>
                  <w14:solidFill>
                    <w14:schemeClr w14:val="tx1"/>
                  </w14:solidFill>
                </w14:textFill>
              </w:rPr>
              <w:t>，开设一学期。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中国近现代史纲要</w:t>
            </w:r>
            <w:r>
              <w:rPr>
                <w:rFonts w:hint="eastAsia" w:ascii="仿宋" w:hAnsi="仿宋" w:eastAsia="仿宋" w:cs="仿宋"/>
                <w:color w:val="000000" w:themeColor="text1"/>
                <w:sz w:val="28"/>
                <w:szCs w:val="28"/>
                <w14:textFill>
                  <w14:solidFill>
                    <w14:schemeClr w14:val="tx1"/>
                  </w14:solidFill>
                </w14:textFill>
              </w:rPr>
              <w:t>》是江西开放大学面向本科各专业学生开设的一门思想政治理论必修课程。通过本课程的学习，让学生更加深刻地了解1</w:t>
            </w:r>
            <w:r>
              <w:rPr>
                <w:rFonts w:ascii="仿宋" w:hAnsi="仿宋" w:eastAsia="仿宋" w:cs="仿宋"/>
                <w:color w:val="000000" w:themeColor="text1"/>
                <w:sz w:val="28"/>
                <w:szCs w:val="28"/>
                <w14:textFill>
                  <w14:solidFill>
                    <w14:schemeClr w14:val="tx1"/>
                  </w14:solidFill>
                </w14:textFill>
              </w:rPr>
              <w:t>840年以来的</w:t>
            </w:r>
            <w:r>
              <w:rPr>
                <w:rFonts w:hint="eastAsia" w:ascii="仿宋" w:hAnsi="仿宋" w:eastAsia="仿宋" w:cs="仿宋"/>
                <w:color w:val="000000" w:themeColor="text1"/>
                <w:sz w:val="28"/>
                <w:szCs w:val="28"/>
                <w14:textFill>
                  <w14:solidFill>
                    <w14:schemeClr w14:val="tx1"/>
                  </w14:solidFill>
                </w14:textFill>
              </w:rPr>
              <w:t>中国历史，告诉我们要学会居安思危，提醒学生“勿忘国耻，振兴中华”</w:t>
            </w:r>
            <w:r>
              <w:rPr>
                <w:szCs w:val="21"/>
              </w:rPr>
              <w:t>。</w:t>
            </w:r>
          </w:p>
          <w:p>
            <w:pPr>
              <w:pStyle w:val="2"/>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本课程的主要内容：上篇：从鸦片战争到五四运动前夜（1</w:t>
            </w:r>
            <w:r>
              <w:rPr>
                <w:rFonts w:ascii="仿宋" w:hAnsi="仿宋" w:eastAsia="仿宋" w:cs="仿宋"/>
                <w:color w:val="000000" w:themeColor="text1"/>
                <w:sz w:val="28"/>
                <w:szCs w:val="28"/>
                <w14:textFill>
                  <w14:solidFill>
                    <w14:schemeClr w14:val="tx1"/>
                  </w14:solidFill>
                </w14:textFill>
              </w:rPr>
              <w:t>840-1919</w:t>
            </w:r>
            <w:r>
              <w:rPr>
                <w:rFonts w:hint="eastAsia" w:ascii="仿宋" w:hAnsi="仿宋" w:eastAsia="仿宋" w:cs="仿宋"/>
                <w:color w:val="000000" w:themeColor="text1"/>
                <w:sz w:val="28"/>
                <w:szCs w:val="28"/>
                <w14:textFill>
                  <w14:solidFill>
                    <w14:schemeClr w14:val="tx1"/>
                  </w14:solidFill>
                </w14:textFill>
              </w:rPr>
              <w:t>），综述，风云变幻的八十年、反对我国侵略的斗争、对国家出路的早期探索、辛亥革命与君主专制制度的终结；中篇：从五四运动到新中国成立（1</w:t>
            </w:r>
            <w:r>
              <w:rPr>
                <w:rFonts w:ascii="仿宋" w:hAnsi="仿宋" w:eastAsia="仿宋" w:cs="仿宋"/>
                <w:color w:val="000000" w:themeColor="text1"/>
                <w:sz w:val="28"/>
                <w:szCs w:val="28"/>
                <w14:textFill>
                  <w14:solidFill>
                    <w14:schemeClr w14:val="tx1"/>
                  </w14:solidFill>
                </w14:textFill>
              </w:rPr>
              <w:t>919-1949</w:t>
            </w:r>
            <w:r>
              <w:rPr>
                <w:rFonts w:hint="eastAsia" w:ascii="仿宋" w:hAnsi="仿宋" w:eastAsia="仿宋" w:cs="仿宋"/>
                <w:color w:val="000000" w:themeColor="text1"/>
                <w:sz w:val="28"/>
                <w:szCs w:val="28"/>
                <w14:textFill>
                  <w14:solidFill>
                    <w14:schemeClr w14:val="tx1"/>
                  </w14:solidFill>
                </w14:textFill>
              </w:rPr>
              <w:t>），综述翻天覆地的三十年、开天辟地的大事变、中国革命的新道路、中华民族的抗日战争、为新中国而奋斗；下篇：从新中国成立到社会主义现代化建设新时期（1</w:t>
            </w:r>
            <w:r>
              <w:rPr>
                <w:rFonts w:ascii="仿宋" w:hAnsi="仿宋" w:eastAsia="仿宋" w:cs="仿宋"/>
                <w:color w:val="000000" w:themeColor="text1"/>
                <w:sz w:val="28"/>
                <w:szCs w:val="28"/>
                <w14:textFill>
                  <w14:solidFill>
                    <w14:schemeClr w14:val="tx1"/>
                  </w14:solidFill>
                </w14:textFill>
              </w:rPr>
              <w:t>949-2015</w:t>
            </w:r>
            <w:r>
              <w:rPr>
                <w:rFonts w:hint="eastAsia" w:ascii="仿宋" w:hAnsi="仿宋" w:eastAsia="仿宋" w:cs="仿宋"/>
                <w:color w:val="000000" w:themeColor="text1"/>
                <w:sz w:val="28"/>
                <w:szCs w:val="28"/>
                <w14:textFill>
                  <w14:solidFill>
                    <w14:schemeClr w14:val="tx1"/>
                  </w14:solidFill>
                </w14:textFill>
              </w:rPr>
              <w:t>），综述辉煌的历史进程、社会主义制度在中国的确立、社会主义建设在探索中曲折发展、改革开放与现代化建设新时期。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.思想道德与法治</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本课程3学分，共54学时（理论5</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），开设一学期。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思想道德与法治》是江西开放大学面向本科各专业学生开设的一门思想政治理论必修课程。本课程以习近平新时代中国特色社会主义思想为指导，以新时代对青年学生的新要求为主线，以思想教育、道德教育和法治教育为基本内容，通过学习，引导学生树立崇高的理想信念，弘扬中国精神，确立正确的世界观、人生观、价值观，养成良好的道德素质和法治素养，培育能够担当民族复兴大任的时代新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本课程的主要内容包括：时代新人的新样貌、人生的青春之问、坚定理想信念、弘扬中国精神、践行社会主义核心价值观、明大德守公德严私德、尊法学法守法用法、依法行使权利与履行义务等。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.马克思主义基本原理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本课程3学分，共54学时（理论5</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），开设二学期。</w:t>
            </w:r>
          </w:p>
          <w:p>
            <w:pPr>
              <w:pStyle w:val="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马克思主义基本原理</w:t>
            </w:r>
            <w:r>
              <w:rPr>
                <w:rFonts w:hint="eastAsia" w:ascii="仿宋" w:hAnsi="仿宋" w:eastAsia="仿宋" w:cs="仿宋"/>
                <w:color w:val="000000" w:themeColor="text1"/>
                <w:sz w:val="28"/>
                <w:szCs w:val="28"/>
                <w14:textFill>
                  <w14:solidFill>
                    <w14:schemeClr w14:val="tx1"/>
                  </w14:solidFill>
                </w14:textFill>
              </w:rPr>
              <w:t>》是江西开放大学面向本科各专业学生开设的一门思想政治理论必修课程。</w:t>
            </w:r>
            <w:r>
              <w:rPr>
                <w:rFonts w:ascii="仿宋" w:hAnsi="仿宋" w:eastAsia="仿宋" w:cs="仿宋"/>
                <w:color w:val="000000" w:themeColor="text1"/>
                <w:sz w:val="28"/>
                <w:szCs w:val="28"/>
                <w14:textFill>
                  <w14:solidFill>
                    <w14:schemeClr w14:val="tx1"/>
                  </w14:solidFill>
                </w14:textFill>
              </w:rPr>
              <w:t>学习和了解马克思主义对我们正确树立人生观、价值观和世界观有着重大的作用。通过学习，教会我们如何一切从实际出发，看到事物的对立与统一的一面，明白这物质与意识的关系。有利于提高我们的逻辑能力和提高我们的思辨的能力。</w:t>
            </w:r>
          </w:p>
          <w:p>
            <w:pPr>
              <w:pStyle w:val="2"/>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绪论马克思主义是关于无产阶级和人类解放的科学；世界的物质性及其发展规律；认识世界和改造世界；人类社会及其发展规律；资本主义的形成及其本质；资本主义发展的历史进程；社会主义社会及其发展；共产主义是人类最崇高的社会理想。</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毛泽东思想和中国特色社会主义理论体系概论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本课程3学分，共54学时（理论5</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），开设三学期。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毛泽东思想和中国特色社会主义理论体系概论》是江西开放大学面向本科各专业学生开设的一门思想政治理论必修课程。通过本课程的学习，学生可以准确的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的提升有更加切实的帮助。</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包括三部分：第一部分是毛泽东思想，包括毛泽东思想的形成、新民主主义革命理论、社会主义改造理论、社会主义建设道路初步探索的理论成果。第二部分主要阐述邓小平理论、“三个代表”重要思想、科学发展观的主要内容。第三部分简要阐述习近平新时代中国特色社会主义思想形成的时代背景、历史地位等，其详细内容在《习近平新时代中国特色社会主义思想》课程中予以重点阐述。</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.形势与政策</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本课程1学分，共18学时（理论</w:t>
            </w:r>
            <w:r>
              <w:rPr>
                <w:rFonts w:ascii="仿宋" w:hAnsi="仿宋" w:eastAsia="仿宋" w:cs="仿宋"/>
                <w:color w:val="000000" w:themeColor="text1"/>
                <w:sz w:val="28"/>
                <w:szCs w:val="28"/>
                <w14:textFill>
                  <w14:solidFill>
                    <w14:schemeClr w14:val="tx1"/>
                  </w14:solidFill>
                </w14:textFill>
              </w:rPr>
              <w:t>18学时</w:t>
            </w:r>
            <w:r>
              <w:rPr>
                <w:rFonts w:hint="eastAsia" w:ascii="仿宋" w:hAnsi="仿宋" w:eastAsia="仿宋" w:cs="仿宋"/>
                <w:color w:val="000000" w:themeColor="text1"/>
                <w:sz w:val="28"/>
                <w:szCs w:val="28"/>
                <w14:textFill>
                  <w14:solidFill>
                    <w14:schemeClr w14:val="tx1"/>
                  </w14:solidFill>
                </w14:textFill>
              </w:rPr>
              <w:t>），学生在校学习期间开课不断线。</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形势与政策》是江西开放大学面向本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化建设宏伟目标的信心和社会责任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本课程的主要内容包括：党和国家重大的理论政策、社会主义现代化建设的形势、国际形势与国际关系、各省经济社会发展形势与特点、安全教育等内容。</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思想政治理论课实践教学的标准要求，由江西开放大学征求各方意见后制定，各市级开放大学和学院按照江西开放大学要求组织开展。</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.入学教育</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本课程1学分，共18学时（理论5</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），开设一学期。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是江西开放大学成人高等教育本本科各专业开设的一门必修课。课程内容包括江西开放大学历史、办学模式、学习方式简介；专业内容和学习过程说明；课程学习资源、课程考试、学习网简介；网上学习操作技能和上网工具等说明。</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通过学习能够了解江西开放大学概况、熟悉专业和课程设置情况及学习环境，熟悉与成人高等教育相适应的学习方法，能够运用现代教育技术进行网络学习和交流。</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.计算机应用基础（本）</w:t>
            </w:r>
          </w:p>
          <w:p>
            <w:pPr>
              <w:autoSpaceDE w:val="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本课程4学分，共72学时（理论</w:t>
            </w:r>
            <w:r>
              <w:rPr>
                <w:rFonts w:ascii="仿宋" w:hAnsi="仿宋" w:eastAsia="仿宋" w:cs="仿宋"/>
                <w:color w:val="000000" w:themeColor="text1"/>
                <w:sz w:val="28"/>
                <w:szCs w:val="28"/>
                <w14:textFill>
                  <w14:solidFill>
                    <w14:schemeClr w14:val="tx1"/>
                  </w14:solidFill>
                </w14:textFill>
              </w:rPr>
              <w:t>36学时、实践36学时</w:t>
            </w:r>
            <w:r>
              <w:rPr>
                <w:rFonts w:hint="eastAsia" w:ascii="仿宋" w:hAnsi="仿宋" w:eastAsia="仿宋" w:cs="仿宋"/>
                <w:color w:val="000000" w:themeColor="text1"/>
                <w:sz w:val="28"/>
                <w:szCs w:val="28"/>
                <w14:textFill>
                  <w14:solidFill>
                    <w14:schemeClr w14:val="tx1"/>
                  </w14:solidFill>
                </w14:textFill>
              </w:rPr>
              <w:t>），开设一学期。</w:t>
            </w:r>
          </w:p>
          <w:p>
            <w:pPr>
              <w:autoSpaceDE w:val="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本课程将“立德树人”贯穿于课程教学全过程。通过本课程的学习, 学生应能了解计算机发展历史，计算机的基础知识，信息技术的基本常识；掌握使用微型计算机和网络处理办公事务的基本技能和方法，为学生深入学习计算机相关知识、技能以及提高综合素质打下基础。</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本课程的主要内容包括：计算机基础知识，Windows操作系统；网络应用基础；文字处理系统（Word）；电子表格系统（Excel）；电子演示文稿系统（PowerPoint）；数据库应用系统（Access）。</w:t>
            </w:r>
          </w:p>
          <w:p>
            <w:pPr>
              <w:pStyle w:val="10"/>
              <w:widowControl w:val="0"/>
              <w:spacing w:beforeAutospacing="0" w:afterAutospacing="0"/>
              <w:ind w:firstLine="560" w:firstLineChars="200"/>
              <w:jc w:val="both"/>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.大学英语（</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本课程3学分，共54学时（理论5</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），开设一学期。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是非英语类本科各专业的公共基础课，主要以培养学生的英语综合应用能力为目的，使学生具有较强的阅读能力和一定的听、说、写、译能力，使他们能用英语交流信息，帮助学生打下扎实的语言基础，掌握良好的语言学习方法，提高文化素养，以适应我国社会发展和国际交流的需要。</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课程的学习，学生应能掌握1600左右的常用词汇（包括入学要求掌握的600词）以及相关的常用词组；能够掌握并正确运用基本的语法知识；能听懂课堂用语，并能听懂与所学内容相关、语速能听懂语速较慢(每分钟100词)的能够听懂日常生活中发音清楚、语速较慢的简短对话或日常生活用语，能回答课堂上老师的提同，能用常用词汇和句型与同学进行主題式讨论。能介绍自己、能用英语进行简短的日常交流；能够读懂所学词汇和语法范围内的故事、短文、通知等；能够能根据所学课文内容，在半小时内写出80字左右的简短应用文，如信函、便条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.大学英语（</w:t>
            </w: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本课程3学分，共54学时（理论5</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），开设二学期。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是非英语类本科各专业的公共基础课，主要以培养学生的英语综合应用能力为目的，使学生具有较强的阅读能力和一定的听、说、写、译能力，使他们能用英语交流信息，帮助学生打下扎实的语言基础，掌握良好的语言学习方法，提高文化素养，以适应我国社会发展和国际交流的需要。</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课程的学习，学生应能掌握1600左右的常用词汇（包括入学要求掌握的600词）以及相关的常用词组；能够掌握并正确运用基本的语法知识；能听懂课堂用语，并能听懂与所学内容相关、语速能听懂语速较慢(每分钟100词)的能够听懂日常生活中发音清楚、语速较慢的简短对话或日常生活用语，能回答课堂上老师的提同，能用常用词汇和句型与同学进行主題式讨论。能介绍自己、能用英语进行简短的日常交流；能够读懂所学词汇和语法范围内的故事、短文、通知等；能够根据所学课文内容，在半小时内写出80字左右的简短应用文，如信函、便条、日记、通知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11.病理生理学</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学分，共</w:t>
            </w:r>
            <w:r>
              <w:rPr>
                <w:rFonts w:ascii="仿宋" w:hAnsi="仿宋" w:eastAsia="仿宋" w:cs="仿宋"/>
                <w:color w:val="000000" w:themeColor="text1"/>
                <w:sz w:val="28"/>
                <w:szCs w:val="28"/>
                <w14:textFill>
                  <w14:solidFill>
                    <w14:schemeClr w14:val="tx1"/>
                  </w14:solidFill>
                </w14:textFill>
              </w:rPr>
              <w:t>54</w:t>
            </w:r>
            <w:r>
              <w:rPr>
                <w:rFonts w:hint="eastAsia" w:ascii="仿宋" w:hAnsi="仿宋" w:eastAsia="仿宋" w:cs="仿宋"/>
                <w:color w:val="000000" w:themeColor="text1"/>
                <w:sz w:val="28"/>
                <w:szCs w:val="28"/>
                <w14:textFill>
                  <w14:solidFill>
                    <w14:schemeClr w14:val="tx1"/>
                  </w14:solidFill>
                </w14:textFill>
              </w:rPr>
              <w:t>学时（理论</w:t>
            </w:r>
            <w:r>
              <w:rPr>
                <w:rFonts w:ascii="仿宋" w:hAnsi="仿宋" w:eastAsia="仿宋" w:cs="仿宋"/>
                <w:color w:val="000000" w:themeColor="text1"/>
                <w:sz w:val="28"/>
                <w:szCs w:val="28"/>
                <w14:textFill>
                  <w14:solidFill>
                    <w14:schemeClr w14:val="tx1"/>
                  </w14:solidFill>
                </w14:textFill>
              </w:rPr>
              <w:t>36学时、实践</w:t>
            </w: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8学时</w:t>
            </w:r>
            <w:r>
              <w:rPr>
                <w:rFonts w:hint="eastAsia" w:ascii="仿宋" w:hAnsi="仿宋" w:eastAsia="仿宋" w:cs="仿宋"/>
                <w:color w:val="000000" w:themeColor="text1"/>
                <w:sz w:val="28"/>
                <w:szCs w:val="28"/>
                <w14:textFill>
                  <w14:solidFill>
                    <w14:schemeClr w14:val="tx1"/>
                  </w14:solidFill>
                </w14:textFill>
              </w:rPr>
              <w:t>），开设二学期。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病理生理学是研究疾病发生、发展和转归的规律及其机制的科学。</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病理生理学是联系基础医学与临床医学的“桥梁”，也是临床医学的一部分。 学习的目的是了解疾病的发生发展的一般规律与机制，达到对疾病本质的认识。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病理生理学作为一门医学基础理论课程，一方面通过科学研究来探过和揭示人类疾病发生、发展和转归的机制，提高疾病的防治水平;另一方面，通过课程学习，学生能够正确理解和掌握疾病的概念、病因学和发病学的一般规律，熟悉、掌握人体患病时出现的功能与代谢的变化和基本机制，并由此提高学生独立分析、思考和解决问题的能力。病理生理学分为总论、基本病理过程和各系统器官病理生理学三个部分。总论主要介绍疾病的概念、疾病发生发展中的普遍规律;基本病理过程主要讨论多种疾病中可能出现的共同的成套的功能、代谢和结构的变化;各系统器官病理生理学是指机体各个系统的许多疾病在发展过程中可能出现的--些常见的共同的病理变化。</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本课程的主要内容：掌握病理生理学的学科性质;健康、疾病、病理过程、病理状态、病因、条件、诱因、死亡和脑死亡等基本概念;疾病发生的条件和基本机制;疾病的发生与发展的一般规律和转归。</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12.药理学（本）</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学分，共</w:t>
            </w:r>
            <w:r>
              <w:rPr>
                <w:rFonts w:ascii="仿宋" w:hAnsi="仿宋" w:eastAsia="仿宋" w:cs="仿宋"/>
                <w:color w:val="000000" w:themeColor="text1"/>
                <w:sz w:val="28"/>
                <w:szCs w:val="28"/>
                <w14:textFill>
                  <w14:solidFill>
                    <w14:schemeClr w14:val="tx1"/>
                  </w14:solidFill>
                </w14:textFill>
              </w:rPr>
              <w:t>54</w:t>
            </w:r>
            <w:r>
              <w:rPr>
                <w:rFonts w:hint="eastAsia" w:ascii="仿宋" w:hAnsi="仿宋" w:eastAsia="仿宋" w:cs="仿宋"/>
                <w:color w:val="000000" w:themeColor="text1"/>
                <w:sz w:val="28"/>
                <w:szCs w:val="28"/>
                <w14:textFill>
                  <w14:solidFill>
                    <w14:schemeClr w14:val="tx1"/>
                  </w14:solidFill>
                </w14:textFill>
              </w:rPr>
              <w:t>学时（理论</w:t>
            </w:r>
            <w:r>
              <w:rPr>
                <w:rFonts w:ascii="仿宋" w:hAnsi="仿宋" w:eastAsia="仿宋" w:cs="仿宋"/>
                <w:color w:val="000000" w:themeColor="text1"/>
                <w:sz w:val="28"/>
                <w:szCs w:val="28"/>
                <w14:textFill>
                  <w14:solidFill>
                    <w14:schemeClr w14:val="tx1"/>
                  </w14:solidFill>
                </w14:textFill>
              </w:rPr>
              <w:t>36学时、实践</w:t>
            </w: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8学时</w:t>
            </w:r>
            <w:r>
              <w:rPr>
                <w:rFonts w:hint="eastAsia" w:ascii="仿宋" w:hAnsi="仿宋" w:eastAsia="仿宋" w:cs="仿宋"/>
                <w:color w:val="000000" w:themeColor="text1"/>
                <w:sz w:val="28"/>
                <w:szCs w:val="28"/>
                <w14:textFill>
                  <w14:solidFill>
                    <w14:schemeClr w14:val="tx1"/>
                  </w14:solidFill>
                </w14:textFill>
              </w:rPr>
              <w:t>），开设二学期。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是药学专业的一门重要基础课。掌握药效学、药动学的基本概念；掌握各类代表药的药理作用、作用机制、临床用途、主要不良反应及用药注意事项。掌握药理学实验的基本操作方法和技能。具备问病荐药、处方分析和用药咨询服务的能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本课程的主要内容：药物代谢动力学；药物效应动力学；传出神经系统药物；中枢神经系统药物；心血管系统药物；内脏及血液系统药物；内分泌系统药物；化学治疗药物。</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13.医学统计学</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本课程4学分，共72学时（理论5</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），开设一学期。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是医学科各专业的一门重要基础课。通过学习，学会理解和运用临床实践和医学研究中统计数据的收集、整理和分析的根本理论、根本学识和根本技能，能够说出医学统计学的进展现状，学会用统计学的思想、方法熟悉生物医学现象、察觉统计规律，为学习相关根基医学、临床医学奠定基础。</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本课程的主要内容：医学统计学入门；医学研究的统计设计；医学数据的统计描述；统计推断等课程。</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14.医学心理学</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学分，共</w:t>
            </w:r>
            <w:r>
              <w:rPr>
                <w:rFonts w:ascii="仿宋" w:hAnsi="仿宋" w:eastAsia="仿宋" w:cs="仿宋"/>
                <w:color w:val="000000" w:themeColor="text1"/>
                <w:sz w:val="28"/>
                <w:szCs w:val="28"/>
                <w14:textFill>
                  <w14:solidFill>
                    <w14:schemeClr w14:val="tx1"/>
                  </w14:solidFill>
                </w14:textFill>
              </w:rPr>
              <w:t>36</w:t>
            </w:r>
            <w:r>
              <w:rPr>
                <w:rFonts w:hint="eastAsia" w:ascii="仿宋" w:hAnsi="仿宋" w:eastAsia="仿宋" w:cs="仿宋"/>
                <w:color w:val="000000" w:themeColor="text1"/>
                <w:sz w:val="28"/>
                <w:szCs w:val="28"/>
                <w14:textFill>
                  <w14:solidFill>
                    <w14:schemeClr w14:val="tx1"/>
                  </w14:solidFill>
                </w14:textFill>
              </w:rPr>
              <w:t>学时（理论</w:t>
            </w:r>
            <w:r>
              <w:rPr>
                <w:rFonts w:ascii="仿宋" w:hAnsi="仿宋" w:eastAsia="仿宋" w:cs="仿宋"/>
                <w:color w:val="000000" w:themeColor="text1"/>
                <w:sz w:val="28"/>
                <w:szCs w:val="28"/>
                <w14:textFill>
                  <w14:solidFill>
                    <w14:schemeClr w14:val="tx1"/>
                  </w14:solidFill>
                </w14:textFill>
              </w:rPr>
              <w:t>36学时</w:t>
            </w:r>
            <w:r>
              <w:rPr>
                <w:rFonts w:hint="eastAsia" w:ascii="仿宋" w:hAnsi="仿宋" w:eastAsia="仿宋" w:cs="仿宋"/>
                <w:color w:val="000000" w:themeColor="text1"/>
                <w:sz w:val="28"/>
                <w:szCs w:val="28"/>
                <w14:textFill>
                  <w14:solidFill>
                    <w14:schemeClr w14:val="tx1"/>
                  </w14:solidFill>
                </w14:textFill>
              </w:rPr>
              <w:t>），开设二学期。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总体目标是使学生适应医学模式的转变，建立对人的整体观、新的健康、疾病观和现代医学观，认识心理因素与人类健康、疾病康复的关系，正确理解机体与环境，内因与外因，局部与整体，情绪与健康，心理因素与疾病的辩证关系，明确各种心理、社会因素所致疾病的产生、发展、诊断和治疗；把学到的医学心理学的理论知识和技术应用于临床，辨证地分析与解决临床医疗实践中病人的心理与行为问题，能运用心理卫生知识对各种不同的个体、群体实施心理卫生宣传教育，并培养学生心理诊断、心理咨询的能力，更有效地为服务于病人。</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医学心理学课程内容：心理学基础知识、心理社会因素与健康、心理应激与心身疾病、心理障碍、心理评估、心理咨询、心理治疗、病人心理等。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15.中医药学概论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学分，共</w:t>
            </w:r>
            <w:r>
              <w:rPr>
                <w:rFonts w:ascii="仿宋" w:hAnsi="仿宋" w:eastAsia="仿宋" w:cs="仿宋"/>
                <w:color w:val="000000" w:themeColor="text1"/>
                <w:sz w:val="28"/>
                <w:szCs w:val="28"/>
                <w14:textFill>
                  <w14:solidFill>
                    <w14:schemeClr w14:val="tx1"/>
                  </w14:solidFill>
                </w14:textFill>
              </w:rPr>
              <w:t>36</w:t>
            </w:r>
            <w:r>
              <w:rPr>
                <w:rFonts w:hint="eastAsia" w:ascii="仿宋" w:hAnsi="仿宋" w:eastAsia="仿宋" w:cs="仿宋"/>
                <w:color w:val="000000" w:themeColor="text1"/>
                <w:sz w:val="28"/>
                <w:szCs w:val="28"/>
                <w14:textFill>
                  <w14:solidFill>
                    <w14:schemeClr w14:val="tx1"/>
                  </w14:solidFill>
                </w14:textFill>
              </w:rPr>
              <w:t>学时（理论</w:t>
            </w:r>
            <w:r>
              <w:rPr>
                <w:rFonts w:ascii="仿宋" w:hAnsi="仿宋" w:eastAsia="仿宋" w:cs="仿宋"/>
                <w:color w:val="000000" w:themeColor="text1"/>
                <w:sz w:val="28"/>
                <w:szCs w:val="28"/>
                <w14:textFill>
                  <w14:solidFill>
                    <w14:schemeClr w14:val="tx1"/>
                  </w14:solidFill>
                </w14:textFill>
              </w:rPr>
              <w:t>36学时</w:t>
            </w:r>
            <w:r>
              <w:rPr>
                <w:rFonts w:hint="eastAsia" w:ascii="仿宋" w:hAnsi="仿宋" w:eastAsia="仿宋" w:cs="仿宋"/>
                <w:color w:val="000000" w:themeColor="text1"/>
                <w:sz w:val="28"/>
                <w:szCs w:val="28"/>
                <w14:textFill>
                  <w14:solidFill>
                    <w14:schemeClr w14:val="tx1"/>
                  </w14:solidFill>
                </w14:textFill>
              </w:rPr>
              <w:t>），开设三学期。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医药学概论是药学专业的一门重要的专业基础课。课程包括中医学、中药学、方剂学和中成药学等基础理论、基本知识、基本技能。本课程的任务是使学生具备从事药品经营等工作所必需的中医药学的基本知识和基本技能，形成良好的职业素质和服务态度，为学生今后学习相关专业知识和职业技能、增强继续学习和适应职业变化的能力奠定坚实的基础，使其成为高素质技能型人才。</w:t>
            </w:r>
          </w:p>
          <w:p>
            <w:pPr>
              <w:pStyle w:val="2"/>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本课程的主要内容：概述；阴阳五行；气血津液；病因病肌；病症；防治原则；中药基础知识；常用中药及应用等课程。</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16.临床医学概论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学分，共</w:t>
            </w:r>
            <w:r>
              <w:rPr>
                <w:rFonts w:ascii="仿宋" w:hAnsi="仿宋" w:eastAsia="仿宋" w:cs="仿宋"/>
                <w:color w:val="000000" w:themeColor="text1"/>
                <w:sz w:val="28"/>
                <w:szCs w:val="28"/>
                <w14:textFill>
                  <w14:solidFill>
                    <w14:schemeClr w14:val="tx1"/>
                  </w14:solidFill>
                </w14:textFill>
              </w:rPr>
              <w:t>36</w:t>
            </w:r>
            <w:r>
              <w:rPr>
                <w:rFonts w:hint="eastAsia" w:ascii="仿宋" w:hAnsi="仿宋" w:eastAsia="仿宋" w:cs="仿宋"/>
                <w:color w:val="000000" w:themeColor="text1"/>
                <w:sz w:val="28"/>
                <w:szCs w:val="28"/>
                <w14:textFill>
                  <w14:solidFill>
                    <w14:schemeClr w14:val="tx1"/>
                  </w14:solidFill>
                </w14:textFill>
              </w:rPr>
              <w:t>学时（理论</w:t>
            </w:r>
            <w:r>
              <w:rPr>
                <w:rFonts w:ascii="仿宋" w:hAnsi="仿宋" w:eastAsia="仿宋" w:cs="仿宋"/>
                <w:color w:val="000000" w:themeColor="text1"/>
                <w:sz w:val="28"/>
                <w:szCs w:val="28"/>
                <w14:textFill>
                  <w14:solidFill>
                    <w14:schemeClr w14:val="tx1"/>
                  </w14:solidFill>
                </w14:textFill>
              </w:rPr>
              <w:t>36学时、实践18学时</w:t>
            </w:r>
            <w:r>
              <w:rPr>
                <w:rFonts w:hint="eastAsia" w:ascii="仿宋" w:hAnsi="仿宋" w:eastAsia="仿宋" w:cs="仿宋"/>
                <w:color w:val="000000" w:themeColor="text1"/>
                <w:sz w:val="28"/>
                <w:szCs w:val="28"/>
                <w14:textFill>
                  <w14:solidFill>
                    <w14:schemeClr w14:val="tx1"/>
                  </w14:solidFill>
                </w14:textFill>
              </w:rPr>
              <w:t>），开设三学期。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临床医学概论》是一门研究诊断学基础及临床各科常见疾病的学科。本课程论述了诊断疾病的基础理论，基本技能，诊断思维；临床常见内、外、妇、儿等疾病的病因、发病机制、临床表现、诊断与鉴别诊断、治疗原则和预防方法。在教授课程过程中将重点讲述药物在预防、治疗、诊断疾病中的重要作用。使学生了解药物与临床之间不可分割的关系，掌握合理用药的基本知识、重要原则及其重大意义。</w:t>
            </w:r>
          </w:p>
          <w:p>
            <w:pPr>
              <w:pStyle w:val="2"/>
              <w:ind w:firstLine="560" w:firstLineChars="200"/>
              <w:rPr>
                <w:rFonts w:hint="eastAsia"/>
              </w:rPr>
            </w:pPr>
            <w:r>
              <w:rPr>
                <w:rFonts w:hint="eastAsia" w:ascii="仿宋" w:hAnsi="仿宋" w:eastAsia="仿宋" w:cs="仿宋"/>
                <w:color w:val="000000" w:themeColor="text1"/>
                <w:sz w:val="28"/>
                <w:szCs w:val="28"/>
                <w14:textFill>
                  <w14:solidFill>
                    <w14:schemeClr w14:val="tx1"/>
                  </w14:solidFill>
                </w14:textFill>
              </w:rPr>
              <w:t>本课程的主要内容：临床医学概论绪论；问诊发热；惊厥、疼痛、咳嗽；呼吸困难、呕吐与腹泻、意识障碍；体格检查；急性上呼吸道感染；慢性阻塞性肺疾病；支气管哮喘；肺结核；冠心病；高血压等课程。</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17.调剂学</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本课程3学分，共54学时（理论</w:t>
            </w:r>
            <w:r>
              <w:rPr>
                <w:rFonts w:ascii="仿宋" w:hAnsi="仿宋" w:eastAsia="仿宋" w:cs="仿宋"/>
                <w:color w:val="000000" w:themeColor="text1"/>
                <w:sz w:val="28"/>
                <w:szCs w:val="28"/>
                <w14:textFill>
                  <w14:solidFill>
                    <w14:schemeClr w14:val="tx1"/>
                  </w14:solidFill>
                </w14:textFill>
              </w:rPr>
              <w:t>30学时、实践</w:t>
            </w: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），开设三学期。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是药学专业的一门专业技能课，课程以完成中药调剂的具体工作项目为出发点，教学内容与职业要求相一致。通过该门课程的学习，培养学生熟练完成中药调剂工作项目中具体工作任务，掌握其相应的操作技能和必备理论知识。使学生能胜任中药调剂工作，达到中药调剂工种的要求，为今后从事中药调剂工作，成为调剂方面的高素质技能型人才奠定坚实的基础。</w:t>
            </w:r>
          </w:p>
          <w:p>
            <w:pPr>
              <w:pStyle w:val="2"/>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本课程的主要内容：调剂人员职责与道德规范；中药处方与处方应付；中药配伍及用药禁忌；特殊中药的调剂与管理；用量与计量；调剂设施及工作制度等课程。</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18.药剂学（本）</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本课程3学分，共54学时（理论</w:t>
            </w:r>
            <w:r>
              <w:rPr>
                <w:rFonts w:ascii="仿宋" w:hAnsi="仿宋" w:eastAsia="仿宋" w:cs="仿宋"/>
                <w:color w:val="000000" w:themeColor="text1"/>
                <w:sz w:val="28"/>
                <w:szCs w:val="28"/>
                <w14:textFill>
                  <w14:solidFill>
                    <w14:schemeClr w14:val="tx1"/>
                  </w14:solidFill>
                </w14:textFill>
              </w:rPr>
              <w:t>30学时、实践</w:t>
            </w: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），开设三学期。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是本科药品质量检测技术专业的重要专业课之一。药剂学是研究药物制剂的处方设计、基本理论、制备工艺、质量控制和合理应用的综合应用性学科，具工艺学性质。学习药剂学是药学生产、临床、经营管理服务等药学一线岗位的需要，是从事药学专业领域实际工作基本的职业能力和职业技能。</w:t>
            </w:r>
          </w:p>
          <w:p>
            <w:pPr>
              <w:pStyle w:val="2"/>
              <w:ind w:firstLine="560" w:firstLineChars="200"/>
              <w:rPr>
                <w:rFonts w:hint="eastAsia"/>
              </w:rPr>
            </w:pPr>
            <w:r>
              <w:rPr>
                <w:rFonts w:hint="eastAsia" w:ascii="仿宋" w:hAnsi="仿宋" w:eastAsia="仿宋" w:cs="仿宋"/>
                <w:color w:val="000000" w:themeColor="text1"/>
                <w:sz w:val="28"/>
                <w:szCs w:val="28"/>
                <w14:textFill>
                  <w14:solidFill>
                    <w14:schemeClr w14:val="tx1"/>
                  </w14:solidFill>
                </w14:textFill>
              </w:rPr>
              <w:t>本课程的主要内容：药剂学概述；药物制剂基本理论；液体药剂；注射剂与滴眼剂；散剂、颗粒剂、胶囊剂、滴丸剂与丸剂；软膏剂与凝胶剂。</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临床药理学</w:t>
            </w:r>
          </w:p>
          <w:p>
            <w:pPr>
              <w:pStyle w:val="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本课程3学分，共54学时（理论</w:t>
            </w:r>
            <w:r>
              <w:rPr>
                <w:rFonts w:ascii="仿宋" w:hAnsi="仿宋" w:eastAsia="仿宋" w:cs="仿宋"/>
                <w:color w:val="000000" w:themeColor="text1"/>
                <w:sz w:val="28"/>
                <w:szCs w:val="28"/>
                <w14:textFill>
                  <w14:solidFill>
                    <w14:schemeClr w14:val="tx1"/>
                  </w14:solidFill>
                </w14:textFill>
              </w:rPr>
              <w:t>30学时、实践</w:t>
            </w: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），开设四学期。</w:t>
            </w:r>
          </w:p>
          <w:p>
            <w:pPr>
              <w:pStyle w:val="2"/>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临床药理学是研究药物与机体间相互作用、作用规律和作用机制的一门学科。也是基础医学与临床医学之间的桥梁学科。其研究的内容为药物效应动力学（简称药效学）和药物代谢动力学（简称药动学)。药效学研究药物对机体的作用及作用机制，包括药物的药理作用、临床用途、不良反应及防治等;药动学研究机体对药物的作用及规律，即包括药物的体内过程及药物在体内随时间而变化的动态规律。主要任务是使学生掌握常用药物的药效学和药动学规律及其特点，掌握药物与机体之间相互作用及其作用规律，为临床合理用药、防治疾病提供基本理论、基本知识和科学思维方法，也为今后学习新药知识打下基础，以适应新药不断涌现和药理学知识不断更新的发展趋势。</w:t>
            </w:r>
          </w:p>
          <w:p>
            <w:pPr>
              <w:pStyle w:val="2"/>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本课程的主要内容：绪言；药物代谢动力学；药物效应动力学；影响药物作用的因素；传出神经系统药理概论；拟胆碱药；抗肾上腺素药；局部麻醉药；镇静催眠药和抗惊厥药等。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.药物治疗学（本）</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学分，共</w:t>
            </w:r>
            <w:r>
              <w:rPr>
                <w:rFonts w:ascii="仿宋" w:hAnsi="仿宋" w:eastAsia="仿宋" w:cs="仿宋"/>
                <w:color w:val="000000" w:themeColor="text1"/>
                <w:sz w:val="28"/>
                <w:szCs w:val="28"/>
                <w14:textFill>
                  <w14:solidFill>
                    <w14:schemeClr w14:val="tx1"/>
                  </w14:solidFill>
                </w14:textFill>
              </w:rPr>
              <w:t>54</w:t>
            </w:r>
            <w:r>
              <w:rPr>
                <w:rFonts w:hint="eastAsia" w:ascii="仿宋" w:hAnsi="仿宋" w:eastAsia="仿宋" w:cs="仿宋"/>
                <w:color w:val="000000" w:themeColor="text1"/>
                <w:sz w:val="28"/>
                <w:szCs w:val="28"/>
                <w14:textFill>
                  <w14:solidFill>
                    <w14:schemeClr w14:val="tx1"/>
                  </w14:solidFill>
                </w14:textFill>
              </w:rPr>
              <w:t>学时（理论</w:t>
            </w:r>
            <w:r>
              <w:rPr>
                <w:rFonts w:ascii="仿宋" w:hAnsi="仿宋" w:eastAsia="仿宋" w:cs="仿宋"/>
                <w:color w:val="000000" w:themeColor="text1"/>
                <w:sz w:val="28"/>
                <w:szCs w:val="28"/>
                <w14:textFill>
                  <w14:solidFill>
                    <w14:schemeClr w14:val="tx1"/>
                  </w14:solidFill>
                </w14:textFill>
              </w:rPr>
              <w:t>30学时、实践</w:t>
            </w: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4学时</w:t>
            </w:r>
            <w:r>
              <w:rPr>
                <w:rFonts w:hint="eastAsia" w:ascii="仿宋" w:hAnsi="仿宋" w:eastAsia="仿宋" w:cs="仿宋"/>
                <w:color w:val="000000" w:themeColor="text1"/>
                <w:sz w:val="28"/>
                <w:szCs w:val="28"/>
                <w14:textFill>
                  <w14:solidFill>
                    <w14:schemeClr w14:val="tx1"/>
                  </w14:solidFill>
                </w14:textFill>
              </w:rPr>
              <w:t>），开设四学期。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本课程是国家开放大学药学专业必修课程。药物治疗学是医院药学的重要组成部分，是医药的结合点，对开展临床合理用药具有重要意义。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教学，强调药物治疗学的基本概念、基本知识和基本理论的学习及基本技能的培养。通过学习，使学员在掌握药物的作用与作用机制；病因、发病机制、病理变化的基础上，依据病人的病理、生理、心理及遗传特征，正确地了，解和使用药物，了解病人的个体化治疗，为参与临床药学实践打下基础。</w:t>
            </w:r>
          </w:p>
          <w:p>
            <w:pPr>
              <w:pStyle w:val="2"/>
              <w:ind w:firstLine="560" w:firstLineChars="200"/>
              <w:rPr>
                <w:rFonts w:hint="eastAsia"/>
              </w:rPr>
            </w:pPr>
            <w:r>
              <w:rPr>
                <w:rFonts w:hint="eastAsia" w:ascii="仿宋" w:hAnsi="仿宋" w:eastAsia="仿宋" w:cs="仿宋"/>
                <w:color w:val="000000" w:themeColor="text1"/>
                <w:sz w:val="28"/>
                <w:szCs w:val="28"/>
                <w14:textFill>
                  <w14:solidFill>
                    <w14:schemeClr w14:val="tx1"/>
                  </w14:solidFill>
                </w14:textFill>
              </w:rPr>
              <w:t>本课程的基本内容：药物治疗学概论；药物治疗方法；基本药动学原理；药物相互作用；药物不良反应；药物经济学原理与方法；遗传药理学与个体化给药；特殊人群的药物治疗；特殊疾病时的药物治疗；药物治疗情报服务；心血管系统疾病的药物治疗；呼吸系统疾病的药物治疗；中枢神经系统疾病的药物治疗；疼痛的药物治疗；催吐药、止吐药和抗组胺药；血液系统疾病的药物治疗；内分泌系统疾病的药物治疗；消化系统疾病的药物治疗；抗菌药物的合理使用；糖皮质激素的合理应用；维生素、微量元素的合理应用；输液；临床营养支持。</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.药事管理与法规（本）</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学分，共</w:t>
            </w:r>
            <w:r>
              <w:rPr>
                <w:rFonts w:ascii="仿宋" w:hAnsi="仿宋" w:eastAsia="仿宋" w:cs="仿宋"/>
                <w:color w:val="000000" w:themeColor="text1"/>
                <w:sz w:val="28"/>
                <w:szCs w:val="28"/>
                <w14:textFill>
                  <w14:solidFill>
                    <w14:schemeClr w14:val="tx1"/>
                  </w14:solidFill>
                </w14:textFill>
              </w:rPr>
              <w:t>36</w:t>
            </w:r>
            <w:r>
              <w:rPr>
                <w:rFonts w:hint="eastAsia" w:ascii="仿宋" w:hAnsi="仿宋" w:eastAsia="仿宋" w:cs="仿宋"/>
                <w:color w:val="000000" w:themeColor="text1"/>
                <w:sz w:val="28"/>
                <w:szCs w:val="28"/>
                <w14:textFill>
                  <w14:solidFill>
                    <w14:schemeClr w14:val="tx1"/>
                  </w14:solidFill>
                </w14:textFill>
              </w:rPr>
              <w:t>学时（理论</w:t>
            </w:r>
            <w:r>
              <w:rPr>
                <w:rFonts w:ascii="仿宋" w:hAnsi="仿宋" w:eastAsia="仿宋" w:cs="仿宋"/>
                <w:color w:val="000000" w:themeColor="text1"/>
                <w:sz w:val="28"/>
                <w:szCs w:val="28"/>
                <w14:textFill>
                  <w14:solidFill>
                    <w14:schemeClr w14:val="tx1"/>
                  </w14:solidFill>
                </w14:textFill>
              </w:rPr>
              <w:t>36学时</w:t>
            </w:r>
            <w:r>
              <w:rPr>
                <w:rFonts w:hint="eastAsia" w:ascii="仿宋" w:hAnsi="仿宋" w:eastAsia="仿宋" w:cs="仿宋"/>
                <w:color w:val="000000" w:themeColor="text1"/>
                <w:sz w:val="28"/>
                <w:szCs w:val="28"/>
                <w14:textFill>
                  <w14:solidFill>
                    <w14:schemeClr w14:val="tx1"/>
                  </w14:solidFill>
                </w14:textFill>
              </w:rPr>
              <w:t>），开设第三学期。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药事管理与法规》是是一门重要的理论与应用兼顾的专业课程。本课程的教学以药品生产、经营、药学服务等职业岗位能力需求为前提构建课程内容，以药物调配制剂，药品研发，药品生产，药品经营设置课程单元。通过本课程的学习，使学生具备从事药品生产、经营、使用等工作所必需的药事管理的基本知识和基本技能；具备自觉执行药事法规的能力，并能综合运用药事管理的知识与药事法规的规定，指导药学实践工作，分析解决实际问题，真正树立依法从药的观念。旨在培养药品生产，药品经营，医药公司培养高素质技能型人才奠定基础。</w:t>
            </w:r>
          </w:p>
          <w:p>
            <w:pPr>
              <w:pStyle w:val="2"/>
              <w:ind w:firstLine="560" w:firstLineChars="200"/>
              <w:rPr>
                <w:rFonts w:hint="eastAsia"/>
              </w:rPr>
            </w:pPr>
            <w:r>
              <w:rPr>
                <w:rFonts w:hint="eastAsia" w:ascii="仿宋" w:hAnsi="仿宋" w:eastAsia="仿宋" w:cs="仿宋"/>
                <w:color w:val="000000" w:themeColor="text1"/>
                <w:sz w:val="28"/>
                <w:szCs w:val="28"/>
                <w14:textFill>
                  <w14:solidFill>
                    <w14:schemeClr w14:val="tx1"/>
                  </w14:solidFill>
                </w14:textFill>
              </w:rPr>
              <w:t>本课程的基本内容：处方调配制剂；药品研发；药品生产；药品经营等。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.健康教育与健康促进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学分，共</w:t>
            </w:r>
            <w:r>
              <w:rPr>
                <w:rFonts w:ascii="仿宋" w:hAnsi="仿宋" w:eastAsia="仿宋" w:cs="仿宋"/>
                <w:color w:val="000000" w:themeColor="text1"/>
                <w:sz w:val="28"/>
                <w:szCs w:val="28"/>
                <w14:textFill>
                  <w14:solidFill>
                    <w14:schemeClr w14:val="tx1"/>
                  </w14:solidFill>
                </w14:textFill>
              </w:rPr>
              <w:t>36</w:t>
            </w:r>
            <w:r>
              <w:rPr>
                <w:rFonts w:hint="eastAsia" w:ascii="仿宋" w:hAnsi="仿宋" w:eastAsia="仿宋" w:cs="仿宋"/>
                <w:color w:val="000000" w:themeColor="text1"/>
                <w:sz w:val="28"/>
                <w:szCs w:val="28"/>
                <w14:textFill>
                  <w14:solidFill>
                    <w14:schemeClr w14:val="tx1"/>
                  </w14:solidFill>
                </w14:textFill>
              </w:rPr>
              <w:t>学时（理论</w:t>
            </w:r>
            <w:r>
              <w:rPr>
                <w:rFonts w:ascii="仿宋" w:hAnsi="仿宋" w:eastAsia="仿宋" w:cs="仿宋"/>
                <w:color w:val="000000" w:themeColor="text1"/>
                <w:sz w:val="28"/>
                <w:szCs w:val="28"/>
                <w14:textFill>
                  <w14:solidFill>
                    <w14:schemeClr w14:val="tx1"/>
                  </w14:solidFill>
                </w14:textFill>
              </w:rPr>
              <w:t>36学时</w:t>
            </w:r>
            <w:r>
              <w:rPr>
                <w:rFonts w:hint="eastAsia" w:ascii="仿宋" w:hAnsi="仿宋" w:eastAsia="仿宋" w:cs="仿宋"/>
                <w:color w:val="000000" w:themeColor="text1"/>
                <w:sz w:val="28"/>
                <w:szCs w:val="28"/>
                <w14:textFill>
                  <w14:solidFill>
                    <w14:schemeClr w14:val="tx1"/>
                  </w14:solidFill>
                </w14:textFill>
              </w:rPr>
              <w:t>），开设第四学期。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健康教育与健康促进是一门预防医学与社会科学的交叉学科，与人文科学有广泛联系，有较强的理论性和实践性。学习并掌握健康传播与健康行为干预的技能，为制定卫生工作策略提供切实可行的方法。本课程是本专业职业素养核心课程。</w:t>
            </w:r>
          </w:p>
          <w:p>
            <w:pPr>
              <w:pStyle w:val="2"/>
              <w:rPr>
                <w:rFonts w:hint="eastAsia"/>
              </w:rPr>
            </w:pPr>
            <w:r>
              <w:rPr>
                <w:rFonts w:hint="eastAsia"/>
              </w:rPr>
              <w:t xml:space="preserve"> </w:t>
            </w:r>
            <w:r>
              <w:t xml:space="preserve">   </w:t>
            </w:r>
            <w:r>
              <w:rPr>
                <w:rFonts w:hint="eastAsia" w:ascii="仿宋" w:hAnsi="仿宋" w:eastAsia="仿宋" w:cs="仿宋"/>
                <w:color w:val="000000" w:themeColor="text1"/>
                <w:sz w:val="28"/>
                <w:szCs w:val="28"/>
                <w14:textFill>
                  <w14:solidFill>
                    <w14:schemeClr w14:val="tx1"/>
                  </w14:solidFill>
                </w14:textFill>
              </w:rPr>
              <w:t>本课程的基本内容：健康的内涵及健康的层次；健康教育与健康促进概论；健康教育与健康基础理论；健康教育与健康促进的具体实施。</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.药学信息检索</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学分，共</w:t>
            </w:r>
            <w:r>
              <w:rPr>
                <w:rFonts w:ascii="仿宋" w:hAnsi="仿宋" w:eastAsia="仿宋" w:cs="仿宋"/>
                <w:color w:val="000000" w:themeColor="text1"/>
                <w:sz w:val="28"/>
                <w:szCs w:val="28"/>
                <w14:textFill>
                  <w14:solidFill>
                    <w14:schemeClr w14:val="tx1"/>
                  </w14:solidFill>
                </w14:textFill>
              </w:rPr>
              <w:t>36</w:t>
            </w:r>
            <w:r>
              <w:rPr>
                <w:rFonts w:hint="eastAsia" w:ascii="仿宋" w:hAnsi="仿宋" w:eastAsia="仿宋" w:cs="仿宋"/>
                <w:color w:val="000000" w:themeColor="text1"/>
                <w:sz w:val="28"/>
                <w:szCs w:val="28"/>
                <w14:textFill>
                  <w14:solidFill>
                    <w14:schemeClr w14:val="tx1"/>
                  </w14:solidFill>
                </w14:textFill>
              </w:rPr>
              <w:t>学时（理论</w:t>
            </w:r>
            <w:r>
              <w:rPr>
                <w:rFonts w:ascii="仿宋" w:hAnsi="仿宋" w:eastAsia="仿宋" w:cs="仿宋"/>
                <w:color w:val="000000" w:themeColor="text1"/>
                <w:sz w:val="28"/>
                <w:szCs w:val="28"/>
                <w14:textFill>
                  <w14:solidFill>
                    <w14:schemeClr w14:val="tx1"/>
                  </w14:solidFill>
                </w14:textFill>
              </w:rPr>
              <w:t>36学时</w:t>
            </w:r>
            <w:r>
              <w:rPr>
                <w:rFonts w:hint="eastAsia" w:ascii="仿宋" w:hAnsi="仿宋" w:eastAsia="仿宋" w:cs="仿宋"/>
                <w:color w:val="000000" w:themeColor="text1"/>
                <w:sz w:val="28"/>
                <w:szCs w:val="28"/>
                <w14:textFill>
                  <w14:solidFill>
                    <w14:schemeClr w14:val="tx1"/>
                  </w14:solidFill>
                </w14:textFill>
              </w:rPr>
              <w:t>），开设第四学期。</w:t>
            </w:r>
          </w:p>
          <w:p>
            <w:pPr>
              <w:pStyle w:val="2"/>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药学信息检索是药物制剂技术专业的职业技术课程。本课程通过对专业英语知识、文献检索资源类型、常用文献资源的使用及学术论文的撰写等四个模块、五个项目的实施，使学生在掌握专业英语知识后，能较熟练地阅读翻译专业文献，掌握国内外专业文献检索的方法,对文献检索的技术问题，能够提出解决方案并实施，为毕业论文(设计）或今后从事专业研究打下基础。</w:t>
            </w:r>
          </w:p>
          <w:p>
            <w:pPr>
              <w:pStyle w:val="2"/>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本课程的基本内容：文献检索资源类型；常用文献资源的使用；数据库信息检索；学术论文的撰写。</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.江西红色文化</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本课程2学分，共36学时</w:t>
            </w:r>
            <w:r>
              <w:rPr>
                <w:rFonts w:hint="eastAsia" w:ascii="仿宋" w:hAnsi="仿宋" w:eastAsia="仿宋"/>
                <w:color w:val="000000"/>
                <w:sz w:val="28"/>
                <w:szCs w:val="28"/>
              </w:rPr>
              <w:t>（理论36学时）</w:t>
            </w:r>
            <w:r>
              <w:rPr>
                <w:rFonts w:hint="eastAsia" w:ascii="仿宋" w:hAnsi="仿宋" w:eastAsia="仿宋" w:cs="仿宋"/>
                <w:color w:val="000000" w:themeColor="text1"/>
                <w:sz w:val="28"/>
                <w:szCs w:val="28"/>
                <w14:textFill>
                  <w14:solidFill>
                    <w14:schemeClr w14:val="tx1"/>
                  </w14:solidFill>
                </w14:textFill>
              </w:rPr>
              <w:t>，开设一学期。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是江西开放大学本科各专业开设的必修课程，属于思政教育课程。本课程的内容包括：江西历史上的爱国传统，“八一”起义与英雄城南昌、“秋收起义”与安源工人俱乐部、“三湾改编”、“革命摇篮”、“共和国摇篮”及其中蕴含的八一精神、井冈山精神、苏区精神、长征精神等。</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对江西红色文化的学习，推进江西红色文化进教材、进课堂、进头脑，教育引导学生厚植文化底蕴，传承红色基因，打好中国底色，强化家国意识，增强爱国主义情怀，大力弘扬社会主义核心价值观，努力成长为养德智体美劳全面发展的社会主义建设者和接班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.思想政治理论课实践</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本课程1学分，共18学时</w:t>
            </w:r>
            <w:r>
              <w:rPr>
                <w:rFonts w:hint="eastAsia" w:ascii="仿宋" w:hAnsi="仿宋" w:eastAsia="仿宋"/>
                <w:color w:val="000000"/>
                <w:sz w:val="28"/>
                <w:szCs w:val="28"/>
              </w:rPr>
              <w:t>（理论</w:t>
            </w:r>
            <w:r>
              <w:rPr>
                <w:rFonts w:hint="eastAsia" w:ascii="仿宋" w:hAnsi="仿宋" w:eastAsia="仿宋"/>
                <w:color w:val="000000"/>
                <w:sz w:val="28"/>
                <w:szCs w:val="28"/>
                <w:lang w:val="en-US" w:eastAsia="zh-CN"/>
              </w:rPr>
              <w:t>18</w:t>
            </w:r>
            <w:r>
              <w:rPr>
                <w:rFonts w:hint="eastAsia" w:ascii="仿宋" w:hAnsi="仿宋" w:eastAsia="仿宋"/>
                <w:color w:val="000000"/>
                <w:sz w:val="28"/>
                <w:szCs w:val="28"/>
              </w:rPr>
              <w:t>学时）</w:t>
            </w:r>
            <w:r>
              <w:rPr>
                <w:rFonts w:hint="eastAsia" w:ascii="仿宋" w:hAnsi="仿宋" w:eastAsia="仿宋" w:cs="仿宋"/>
                <w:color w:val="000000" w:themeColor="text1"/>
                <w:sz w:val="28"/>
                <w:szCs w:val="28"/>
                <w14:textFill>
                  <w14:solidFill>
                    <w14:schemeClr w14:val="tx1"/>
                  </w14:solidFill>
                </w14:textFill>
              </w:rPr>
              <w:t>，开设一学期。</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是江西开放大学本科各专业开设的综合实践课程。本课程主要是开展马克思主义的世界观、人生观、价值观、道德观、法制观教育。通过实践可以提升大学生的思想道德素质和法制素养。有助于大学生领悟人生真谛，坚定理想，增强本领，践行社会主义核心价值观；有助于大学生形成正确的道德认识和法治思维，积极投身道德实践，勇于担当，更好地为中华民族的伟大复兴而努力奋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（四）专业培养要求中的知识、能力与素质的培养，与上述课程模块相呼应，在课程设置中得以体现。课程模块是知识、能力和素质培养的载体，同时知识、能力和素质培养要求又决定了课程模块的构成。</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（五）必修课程和集中实践环节的教学大纲或要求根据教育部颁布的课程教学基本要求统一制定。自开课按照江西开放大学统一课程教学基本要求统一制定。</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（六）市级开放学院在江西开放大学统一制订的实施性教学计划基础上制订各教学点执行性教学计划。</w:t>
            </w:r>
          </w:p>
          <w:p>
            <w:pPr>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六、学习成果认证与转换</w:t>
            </w:r>
          </w:p>
          <w:p>
            <w:pPr>
              <w:ind w:firstLine="560" w:firstLineChars="200"/>
              <w:outlineLvl w:val="1"/>
              <w:rPr>
                <w:rFonts w:ascii="仿宋" w:hAnsi="仿宋" w:eastAsia="仿宋" w:cs="仿宋"/>
                <w:bCs/>
                <w:sz w:val="28"/>
                <w:szCs w:val="28"/>
              </w:rPr>
            </w:pPr>
            <w:r>
              <w:rPr>
                <w:rFonts w:hint="eastAsia" w:ascii="仿宋" w:hAnsi="仿宋" w:eastAsia="仿宋" w:cs="仿宋"/>
                <w:bCs/>
                <w:sz w:val="28"/>
                <w:szCs w:val="28"/>
              </w:rPr>
              <w:t xml:space="preserve">学习成果认证与转换参照《江西开放大学高等继续教育人才培养模式学习成果认证与转换管理办法》相关规定。 </w:t>
            </w:r>
          </w:p>
          <w:p>
            <w:pPr>
              <w:ind w:firstLine="560" w:firstLineChars="200"/>
              <w:outlineLvl w:val="1"/>
              <w:rPr>
                <w:rFonts w:ascii="仿宋" w:hAnsi="仿宋" w:eastAsia="仿宋" w:cs="仿宋"/>
                <w:b/>
                <w:bCs/>
                <w:sz w:val="28"/>
                <w:szCs w:val="28"/>
              </w:rPr>
            </w:pPr>
            <w:r>
              <w:rPr>
                <w:rFonts w:hint="eastAsia" w:ascii="仿宋" w:hAnsi="仿宋" w:eastAsia="仿宋" w:cs="仿宋"/>
                <w:bCs/>
                <w:sz w:val="28"/>
                <w:szCs w:val="28"/>
              </w:rPr>
              <w:t>对于学生的课程类、证书类、经验奖励类及培训类学习成果可转换成相应的课程及实践学分。本专业所有转换学分比例不超过总学分的40%，转换课程可免修、免考，不免相应费用。具体规则如下：</w:t>
            </w:r>
          </w:p>
          <w:p>
            <w:pPr>
              <w:ind w:firstLine="562" w:firstLineChars="200"/>
              <w:outlineLvl w:val="1"/>
              <w:rPr>
                <w:rFonts w:ascii="仿宋" w:hAnsi="仿宋" w:eastAsia="仿宋" w:cs="仿宋"/>
                <w:b/>
                <w:bCs/>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406"/>
              <w:gridCol w:w="1406"/>
              <w:gridCol w:w="1731"/>
              <w:gridCol w:w="108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8" w:type="dxa"/>
                  <w:gridSpan w:val="6"/>
                </w:tcPr>
                <w:p>
                  <w:pPr>
                    <w:jc w:val="center"/>
                    <w:outlineLvl w:val="1"/>
                    <w:rPr>
                      <w:rFonts w:ascii="宋体" w:hAnsi="宋体" w:cs="宋体"/>
                      <w:b/>
                      <w:bCs/>
                      <w:sz w:val="28"/>
                      <w:szCs w:val="28"/>
                    </w:rPr>
                  </w:pPr>
                  <w:r>
                    <w:rPr>
                      <w:rFonts w:hint="eastAsia" w:ascii="宋体" w:hAnsi="宋体" w:cs="宋体"/>
                      <w:bCs/>
                      <w:sz w:val="28"/>
                      <w:szCs w:val="28"/>
                    </w:rPr>
                    <w:t>证书类学习成果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outlineLvl w:val="1"/>
                    <w:rPr>
                      <w:rFonts w:ascii="宋体" w:hAnsi="宋体" w:cs="宋体"/>
                      <w:b/>
                      <w:bCs/>
                      <w:sz w:val="28"/>
                      <w:szCs w:val="28"/>
                    </w:rPr>
                  </w:pPr>
                  <w:r>
                    <w:rPr>
                      <w:rFonts w:hint="eastAsia" w:ascii="宋体" w:hAnsi="宋体" w:cs="宋体"/>
                      <w:b/>
                      <w:bCs/>
                      <w:sz w:val="28"/>
                      <w:szCs w:val="28"/>
                    </w:rPr>
                    <w:t>证书类型</w:t>
                  </w:r>
                </w:p>
              </w:tc>
              <w:tc>
                <w:tcPr>
                  <w:tcW w:w="1406" w:type="dxa"/>
                </w:tcPr>
                <w:p>
                  <w:pPr>
                    <w:outlineLvl w:val="1"/>
                    <w:rPr>
                      <w:rFonts w:ascii="宋体" w:hAnsi="宋体" w:cs="宋体"/>
                      <w:b/>
                      <w:bCs/>
                      <w:sz w:val="28"/>
                      <w:szCs w:val="28"/>
                    </w:rPr>
                  </w:pPr>
                  <w:r>
                    <w:rPr>
                      <w:rFonts w:hint="eastAsia" w:ascii="宋体" w:hAnsi="宋体" w:cs="宋体"/>
                      <w:b/>
                      <w:bCs/>
                      <w:sz w:val="28"/>
                      <w:szCs w:val="28"/>
                    </w:rPr>
                    <w:t>证书名称</w:t>
                  </w:r>
                </w:p>
              </w:tc>
              <w:tc>
                <w:tcPr>
                  <w:tcW w:w="1406" w:type="dxa"/>
                </w:tcPr>
                <w:p>
                  <w:pPr>
                    <w:outlineLvl w:val="1"/>
                    <w:rPr>
                      <w:rFonts w:ascii="宋体" w:hAnsi="宋体" w:cs="宋体"/>
                      <w:b/>
                      <w:bCs/>
                      <w:sz w:val="28"/>
                      <w:szCs w:val="28"/>
                    </w:rPr>
                  </w:pPr>
                  <w:r>
                    <w:rPr>
                      <w:rFonts w:hint="eastAsia" w:ascii="宋体" w:hAnsi="宋体" w:cs="宋体"/>
                      <w:b/>
                      <w:bCs/>
                      <w:sz w:val="28"/>
                      <w:szCs w:val="28"/>
                    </w:rPr>
                    <w:t>颁证机构</w:t>
                  </w:r>
                </w:p>
              </w:tc>
              <w:tc>
                <w:tcPr>
                  <w:tcW w:w="1731" w:type="dxa"/>
                </w:tcPr>
                <w:p>
                  <w:pPr>
                    <w:outlineLvl w:val="1"/>
                    <w:rPr>
                      <w:rFonts w:ascii="宋体" w:hAnsi="宋体" w:cs="宋体"/>
                      <w:b/>
                      <w:bCs/>
                      <w:sz w:val="28"/>
                      <w:szCs w:val="28"/>
                    </w:rPr>
                  </w:pPr>
                  <w:r>
                    <w:rPr>
                      <w:rFonts w:hint="eastAsia" w:ascii="宋体" w:hAnsi="宋体" w:cs="宋体"/>
                      <w:b/>
                      <w:bCs/>
                      <w:sz w:val="28"/>
                      <w:szCs w:val="28"/>
                    </w:rPr>
                    <w:t>可转换课程</w:t>
                  </w:r>
                </w:p>
              </w:tc>
              <w:tc>
                <w:tcPr>
                  <w:tcW w:w="1082" w:type="dxa"/>
                </w:tcPr>
                <w:p>
                  <w:pPr>
                    <w:outlineLvl w:val="1"/>
                    <w:rPr>
                      <w:rFonts w:ascii="宋体" w:hAnsi="宋体" w:cs="宋体"/>
                      <w:b/>
                      <w:bCs/>
                      <w:sz w:val="28"/>
                      <w:szCs w:val="28"/>
                    </w:rPr>
                  </w:pPr>
                  <w:r>
                    <w:rPr>
                      <w:rFonts w:hint="eastAsia" w:ascii="宋体" w:hAnsi="宋体" w:cs="宋体"/>
                      <w:b/>
                      <w:bCs/>
                      <w:sz w:val="28"/>
                      <w:szCs w:val="28"/>
                    </w:rPr>
                    <w:t>对应学分</w:t>
                  </w:r>
                </w:p>
              </w:tc>
              <w:tc>
                <w:tcPr>
                  <w:tcW w:w="1407" w:type="dxa"/>
                </w:tcPr>
                <w:p>
                  <w:pPr>
                    <w:outlineLvl w:val="1"/>
                    <w:rPr>
                      <w:rFonts w:ascii="宋体" w:hAnsi="宋体" w:cs="宋体"/>
                      <w:b/>
                      <w:bCs/>
                      <w:sz w:val="28"/>
                      <w:szCs w:val="28"/>
                    </w:rPr>
                  </w:pPr>
                  <w:r>
                    <w:rPr>
                      <w:rFonts w:hint="eastAsia" w:ascii="宋体" w:hAnsi="宋体" w:cs="宋体"/>
                      <w:b/>
                      <w:bCs/>
                      <w:sz w:val="28"/>
                      <w:szCs w:val="28"/>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restart"/>
                </w:tcPr>
                <w:p>
                  <w:pPr>
                    <w:outlineLvl w:val="1"/>
                    <w:rPr>
                      <w:rFonts w:ascii="仿宋" w:hAnsi="仿宋" w:eastAsia="仿宋" w:cs="仿宋"/>
                      <w:bCs/>
                      <w:sz w:val="28"/>
                      <w:szCs w:val="28"/>
                    </w:rPr>
                  </w:pPr>
                  <w:r>
                    <w:rPr>
                      <w:rFonts w:hint="eastAsia" w:ascii="仿宋" w:hAnsi="仿宋" w:eastAsia="仿宋" w:cs="仿宋"/>
                      <w:bCs/>
                      <w:sz w:val="28"/>
                      <w:szCs w:val="28"/>
                    </w:rPr>
                    <w:t>资格证书</w:t>
                  </w:r>
                </w:p>
              </w:tc>
              <w:tc>
                <w:tcPr>
                  <w:tcW w:w="1406" w:type="dxa"/>
                  <w:vMerge w:val="restart"/>
                </w:tcPr>
                <w:p>
                  <w:pPr>
                    <w:widowControl/>
                    <w:spacing w:after="150" w:line="26" w:lineRule="atLeast"/>
                    <w:jc w:val="center"/>
                    <w:rPr>
                      <w:rFonts w:ascii="仿宋" w:hAnsi="仿宋" w:eastAsia="仿宋" w:cs="仿宋"/>
                      <w:bCs/>
                      <w:sz w:val="28"/>
                      <w:szCs w:val="28"/>
                    </w:rPr>
                  </w:pPr>
                  <w:r>
                    <w:rPr>
                      <w:rFonts w:hint="eastAsia" w:ascii="仿宋" w:hAnsi="仿宋" w:eastAsia="仿宋" w:cs="仿宋"/>
                      <w:color w:val="333333"/>
                      <w:kern w:val="0"/>
                      <w:sz w:val="28"/>
                      <w:szCs w:val="28"/>
                      <w:lang w:bidi="ar"/>
                    </w:rPr>
                    <w:t>化学检验工高级证书</w:t>
                  </w:r>
                </w:p>
                <w:p>
                  <w:pPr>
                    <w:widowControl/>
                    <w:spacing w:after="150" w:line="26" w:lineRule="atLeast"/>
                    <w:jc w:val="center"/>
                    <w:rPr>
                      <w:rFonts w:ascii="仿宋" w:hAnsi="仿宋" w:eastAsia="仿宋" w:cs="仿宋"/>
                      <w:bCs/>
                      <w:sz w:val="28"/>
                      <w:szCs w:val="28"/>
                    </w:rPr>
                  </w:pPr>
                  <w:r>
                    <w:rPr>
                      <w:rFonts w:hint="eastAsia" w:ascii="仿宋" w:hAnsi="仿宋" w:eastAsia="仿宋" w:cs="仿宋"/>
                      <w:color w:val="333333"/>
                      <w:kern w:val="0"/>
                      <w:sz w:val="28"/>
                      <w:szCs w:val="28"/>
                      <w:lang w:bidi="ar"/>
                    </w:rPr>
                    <w:t>中药炮制工高级证书</w:t>
                  </w:r>
                </w:p>
                <w:p>
                  <w:pPr>
                    <w:widowControl/>
                    <w:spacing w:after="150" w:line="26" w:lineRule="atLeast"/>
                    <w:jc w:val="center"/>
                    <w:rPr>
                      <w:rFonts w:ascii="仿宋" w:hAnsi="仿宋" w:eastAsia="仿宋" w:cs="仿宋"/>
                      <w:bCs/>
                      <w:sz w:val="28"/>
                      <w:szCs w:val="28"/>
                    </w:rPr>
                  </w:pPr>
                  <w:r>
                    <w:rPr>
                      <w:rFonts w:hint="eastAsia" w:ascii="仿宋" w:hAnsi="仿宋" w:eastAsia="仿宋" w:cs="仿宋"/>
                      <w:color w:val="333333"/>
                      <w:kern w:val="0"/>
                      <w:sz w:val="28"/>
                      <w:szCs w:val="28"/>
                      <w:lang w:bidi="ar"/>
                    </w:rPr>
                    <w:t>药物制剂工高级证书</w:t>
                  </w:r>
                </w:p>
                <w:p>
                  <w:pPr>
                    <w:widowControl/>
                    <w:spacing w:after="150" w:line="26" w:lineRule="atLeast"/>
                    <w:jc w:val="center"/>
                    <w:rPr>
                      <w:rFonts w:ascii="仿宋" w:hAnsi="仿宋" w:eastAsia="仿宋" w:cs="仿宋"/>
                      <w:bCs/>
                      <w:sz w:val="28"/>
                      <w:szCs w:val="28"/>
                    </w:rPr>
                  </w:pPr>
                  <w:r>
                    <w:rPr>
                      <w:rFonts w:hint="eastAsia" w:ascii="仿宋" w:hAnsi="仿宋" w:eastAsia="仿宋" w:cs="仿宋"/>
                      <w:color w:val="333333"/>
                      <w:kern w:val="0"/>
                      <w:sz w:val="28"/>
                      <w:szCs w:val="28"/>
                      <w:lang w:bidi="ar"/>
                    </w:rPr>
                    <w:t>保健调理师证书</w:t>
                  </w:r>
                </w:p>
                <w:p>
                  <w:pPr>
                    <w:outlineLvl w:val="1"/>
                    <w:rPr>
                      <w:rFonts w:ascii="仿宋" w:hAnsi="仿宋" w:eastAsia="仿宋" w:cs="仿宋"/>
                      <w:bCs/>
                      <w:sz w:val="28"/>
                      <w:szCs w:val="28"/>
                    </w:rPr>
                  </w:pPr>
                  <w:r>
                    <w:rPr>
                      <w:rFonts w:hint="eastAsia" w:ascii="仿宋" w:hAnsi="仿宋" w:eastAsia="仿宋" w:cs="仿宋"/>
                      <w:color w:val="333333"/>
                      <w:kern w:val="0"/>
                      <w:sz w:val="28"/>
                      <w:szCs w:val="28"/>
                      <w:lang w:bidi="ar"/>
                    </w:rPr>
                    <w:t>健康管理师证书</w:t>
                  </w:r>
                </w:p>
              </w:tc>
              <w:tc>
                <w:tcPr>
                  <w:tcW w:w="1406" w:type="dxa"/>
                  <w:vMerge w:val="restart"/>
                </w:tcPr>
                <w:p>
                  <w:pPr>
                    <w:outlineLvl w:val="1"/>
                    <w:rPr>
                      <w:rFonts w:ascii="仿宋" w:hAnsi="仿宋" w:eastAsia="仿宋" w:cs="仿宋"/>
                      <w:bCs/>
                      <w:sz w:val="28"/>
                      <w:szCs w:val="28"/>
                    </w:rPr>
                  </w:pPr>
                </w:p>
              </w:tc>
              <w:tc>
                <w:tcPr>
                  <w:tcW w:w="1731" w:type="dxa"/>
                  <w:vAlign w:val="center"/>
                </w:tcPr>
                <w:p>
                  <w:pPr>
                    <w:widowControl/>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药物检测技术</w:t>
                  </w:r>
                </w:p>
              </w:tc>
              <w:tc>
                <w:tcPr>
                  <w:tcW w:w="1082"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2</w:t>
                  </w:r>
                </w:p>
              </w:tc>
              <w:tc>
                <w:tcPr>
                  <w:tcW w:w="1407"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8"/>
                      <w:szCs w:val="28"/>
                    </w:rPr>
                  </w:pPr>
                </w:p>
              </w:tc>
              <w:tc>
                <w:tcPr>
                  <w:tcW w:w="1406" w:type="dxa"/>
                  <w:vMerge w:val="continue"/>
                </w:tcPr>
                <w:p>
                  <w:pPr>
                    <w:outlineLvl w:val="1"/>
                    <w:rPr>
                      <w:rFonts w:ascii="仿宋" w:hAnsi="仿宋" w:eastAsia="仿宋" w:cs="仿宋"/>
                      <w:bCs/>
                      <w:sz w:val="28"/>
                      <w:szCs w:val="28"/>
                    </w:rPr>
                  </w:pPr>
                </w:p>
              </w:tc>
              <w:tc>
                <w:tcPr>
                  <w:tcW w:w="1406" w:type="dxa"/>
                  <w:vMerge w:val="continue"/>
                </w:tcPr>
                <w:p>
                  <w:pPr>
                    <w:outlineLvl w:val="1"/>
                    <w:rPr>
                      <w:rFonts w:ascii="仿宋" w:hAnsi="仿宋" w:eastAsia="仿宋" w:cs="仿宋"/>
                      <w:bCs/>
                      <w:sz w:val="28"/>
                      <w:szCs w:val="28"/>
                    </w:rPr>
                  </w:pPr>
                </w:p>
              </w:tc>
              <w:tc>
                <w:tcPr>
                  <w:tcW w:w="1731" w:type="dxa"/>
                  <w:vAlign w:val="center"/>
                </w:tcPr>
                <w:p>
                  <w:pPr>
                    <w:widowControl/>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药物制剂技术</w:t>
                  </w:r>
                </w:p>
              </w:tc>
              <w:tc>
                <w:tcPr>
                  <w:tcW w:w="1082"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5</w:t>
                  </w:r>
                </w:p>
              </w:tc>
              <w:tc>
                <w:tcPr>
                  <w:tcW w:w="1407"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8"/>
                      <w:szCs w:val="28"/>
                    </w:rPr>
                  </w:pPr>
                </w:p>
              </w:tc>
              <w:tc>
                <w:tcPr>
                  <w:tcW w:w="1406" w:type="dxa"/>
                  <w:vMerge w:val="continue"/>
                </w:tcPr>
                <w:p>
                  <w:pPr>
                    <w:outlineLvl w:val="1"/>
                    <w:rPr>
                      <w:rFonts w:ascii="仿宋" w:hAnsi="仿宋" w:eastAsia="仿宋" w:cs="仿宋"/>
                      <w:bCs/>
                      <w:sz w:val="28"/>
                      <w:szCs w:val="28"/>
                    </w:rPr>
                  </w:pPr>
                </w:p>
              </w:tc>
              <w:tc>
                <w:tcPr>
                  <w:tcW w:w="1406" w:type="dxa"/>
                  <w:vMerge w:val="continue"/>
                </w:tcPr>
                <w:p>
                  <w:pPr>
                    <w:outlineLvl w:val="1"/>
                    <w:rPr>
                      <w:rFonts w:ascii="仿宋" w:hAnsi="仿宋" w:eastAsia="仿宋" w:cs="仿宋"/>
                      <w:bCs/>
                      <w:sz w:val="28"/>
                      <w:szCs w:val="28"/>
                    </w:rPr>
                  </w:pPr>
                </w:p>
              </w:tc>
              <w:tc>
                <w:tcPr>
                  <w:tcW w:w="1731" w:type="dxa"/>
                  <w:vAlign w:val="center"/>
                </w:tcPr>
                <w:p>
                  <w:pPr>
                    <w:widowControl/>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药物化学</w:t>
                  </w:r>
                </w:p>
              </w:tc>
              <w:tc>
                <w:tcPr>
                  <w:tcW w:w="1082"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5</w:t>
                  </w:r>
                </w:p>
              </w:tc>
              <w:tc>
                <w:tcPr>
                  <w:tcW w:w="1407"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8"/>
                      <w:szCs w:val="28"/>
                    </w:rPr>
                  </w:pPr>
                </w:p>
              </w:tc>
              <w:tc>
                <w:tcPr>
                  <w:tcW w:w="1406" w:type="dxa"/>
                  <w:vMerge w:val="continue"/>
                </w:tcPr>
                <w:p>
                  <w:pPr>
                    <w:outlineLvl w:val="1"/>
                    <w:rPr>
                      <w:rFonts w:ascii="仿宋" w:hAnsi="仿宋" w:eastAsia="仿宋" w:cs="仿宋"/>
                      <w:bCs/>
                      <w:sz w:val="28"/>
                      <w:szCs w:val="28"/>
                    </w:rPr>
                  </w:pPr>
                </w:p>
              </w:tc>
              <w:tc>
                <w:tcPr>
                  <w:tcW w:w="1406" w:type="dxa"/>
                  <w:vMerge w:val="continue"/>
                </w:tcPr>
                <w:p>
                  <w:pPr>
                    <w:outlineLvl w:val="1"/>
                    <w:rPr>
                      <w:rFonts w:ascii="仿宋" w:hAnsi="仿宋" w:eastAsia="仿宋" w:cs="仿宋"/>
                      <w:bCs/>
                      <w:sz w:val="28"/>
                      <w:szCs w:val="28"/>
                    </w:rPr>
                  </w:pPr>
                </w:p>
              </w:tc>
              <w:tc>
                <w:tcPr>
                  <w:tcW w:w="1731" w:type="dxa"/>
                  <w:vAlign w:val="center"/>
                </w:tcPr>
                <w:p>
                  <w:pPr>
                    <w:widowControl/>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天然药物学</w:t>
                  </w:r>
                </w:p>
              </w:tc>
              <w:tc>
                <w:tcPr>
                  <w:tcW w:w="1082"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3</w:t>
                  </w:r>
                </w:p>
              </w:tc>
              <w:tc>
                <w:tcPr>
                  <w:tcW w:w="1407"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8"/>
                      <w:szCs w:val="28"/>
                    </w:rPr>
                  </w:pPr>
                </w:p>
              </w:tc>
              <w:tc>
                <w:tcPr>
                  <w:tcW w:w="1406" w:type="dxa"/>
                  <w:vMerge w:val="continue"/>
                </w:tcPr>
                <w:p>
                  <w:pPr>
                    <w:widowControl/>
                    <w:spacing w:after="150" w:line="26" w:lineRule="atLeast"/>
                    <w:jc w:val="center"/>
                    <w:rPr>
                      <w:rFonts w:ascii="仿宋" w:hAnsi="仿宋" w:eastAsia="仿宋" w:cs="仿宋"/>
                      <w:bCs/>
                      <w:sz w:val="28"/>
                      <w:szCs w:val="28"/>
                    </w:rPr>
                  </w:pPr>
                </w:p>
              </w:tc>
              <w:tc>
                <w:tcPr>
                  <w:tcW w:w="1406" w:type="dxa"/>
                  <w:vMerge w:val="continue"/>
                </w:tcPr>
                <w:p>
                  <w:pPr>
                    <w:outlineLvl w:val="1"/>
                    <w:rPr>
                      <w:rFonts w:ascii="仿宋" w:hAnsi="仿宋" w:eastAsia="仿宋" w:cs="仿宋"/>
                      <w:bCs/>
                      <w:sz w:val="28"/>
                      <w:szCs w:val="28"/>
                    </w:rPr>
                  </w:pPr>
                </w:p>
              </w:tc>
              <w:tc>
                <w:tcPr>
                  <w:tcW w:w="1731" w:type="dxa"/>
                  <w:vAlign w:val="center"/>
                </w:tcPr>
                <w:p>
                  <w:pPr>
                    <w:widowControl/>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药物服务技术</w:t>
                  </w:r>
                </w:p>
              </w:tc>
              <w:tc>
                <w:tcPr>
                  <w:tcW w:w="1082"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3</w:t>
                  </w:r>
                </w:p>
              </w:tc>
              <w:tc>
                <w:tcPr>
                  <w:tcW w:w="1407"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8"/>
                      <w:szCs w:val="28"/>
                    </w:rPr>
                  </w:pPr>
                </w:p>
              </w:tc>
              <w:tc>
                <w:tcPr>
                  <w:tcW w:w="1406" w:type="dxa"/>
                  <w:vMerge w:val="continue"/>
                </w:tcPr>
                <w:p>
                  <w:pPr>
                    <w:outlineLvl w:val="1"/>
                    <w:rPr>
                      <w:rFonts w:ascii="仿宋" w:hAnsi="仿宋" w:eastAsia="仿宋" w:cs="仿宋"/>
                      <w:bCs/>
                      <w:sz w:val="28"/>
                      <w:szCs w:val="28"/>
                    </w:rPr>
                  </w:pPr>
                </w:p>
              </w:tc>
              <w:tc>
                <w:tcPr>
                  <w:tcW w:w="1406" w:type="dxa"/>
                  <w:vMerge w:val="continue"/>
                </w:tcPr>
                <w:p>
                  <w:pPr>
                    <w:outlineLvl w:val="1"/>
                    <w:rPr>
                      <w:rFonts w:ascii="仿宋" w:hAnsi="仿宋" w:eastAsia="仿宋" w:cs="仿宋"/>
                      <w:bCs/>
                      <w:sz w:val="28"/>
                      <w:szCs w:val="28"/>
                    </w:rPr>
                  </w:pPr>
                </w:p>
              </w:tc>
              <w:tc>
                <w:tcPr>
                  <w:tcW w:w="1731" w:type="dxa"/>
                  <w:vAlign w:val="center"/>
                </w:tcPr>
                <w:p>
                  <w:pPr>
                    <w:widowControl/>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药物治疗学</w:t>
                  </w:r>
                </w:p>
              </w:tc>
              <w:tc>
                <w:tcPr>
                  <w:tcW w:w="1082"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2</w:t>
                  </w:r>
                </w:p>
              </w:tc>
              <w:tc>
                <w:tcPr>
                  <w:tcW w:w="1407" w:type="dxa"/>
                  <w:vAlign w:val="center"/>
                </w:tcPr>
                <w:p>
                  <w:pPr>
                    <w:widowControl/>
                    <w:jc w:val="center"/>
                    <w:textAlignment w:val="center"/>
                    <w:rPr>
                      <w:rFonts w:ascii="仿宋" w:hAnsi="仿宋" w:eastAsia="仿宋" w:cs="仿宋"/>
                      <w:bCs/>
                      <w:sz w:val="28"/>
                      <w:szCs w:val="28"/>
                    </w:rPr>
                  </w:pPr>
                  <w:r>
                    <w:rPr>
                      <w:rFonts w:hint="eastAsia" w:ascii="仿宋" w:hAnsi="仿宋" w:eastAsia="仿宋" w:cs="仿宋"/>
                      <w:color w:val="000000" w:themeColor="text1"/>
                      <w:kern w:val="0"/>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outlineLvl w:val="1"/>
                    <w:rPr>
                      <w:rFonts w:ascii="仿宋" w:hAnsi="仿宋" w:eastAsia="仿宋" w:cs="仿宋"/>
                      <w:bCs/>
                      <w:sz w:val="28"/>
                      <w:szCs w:val="28"/>
                    </w:rPr>
                  </w:pPr>
                  <w:r>
                    <w:rPr>
                      <w:rFonts w:hint="eastAsia" w:ascii="仿宋" w:hAnsi="仿宋" w:eastAsia="仿宋" w:cs="仿宋"/>
                      <w:bCs/>
                      <w:sz w:val="28"/>
                      <w:szCs w:val="28"/>
                    </w:rPr>
                    <w:t>等级证书</w:t>
                  </w:r>
                </w:p>
              </w:tc>
              <w:tc>
                <w:tcPr>
                  <w:tcW w:w="1406" w:type="dxa"/>
                  <w:vAlign w:val="center"/>
                </w:tcPr>
                <w:p>
                  <w:pPr>
                    <w:jc w:val="left"/>
                    <w:rPr>
                      <w:rFonts w:ascii="仿宋" w:hAnsi="仿宋" w:eastAsia="仿宋" w:cs="仿宋"/>
                      <w:bCs/>
                      <w:sz w:val="28"/>
                      <w:szCs w:val="28"/>
                    </w:rPr>
                  </w:pPr>
                  <w:r>
                    <w:rPr>
                      <w:rFonts w:hint="eastAsia" w:ascii="仿宋" w:hAnsi="仿宋" w:eastAsia="仿宋" w:cs="仿宋"/>
                      <w:bCs/>
                      <w:sz w:val="28"/>
                      <w:szCs w:val="28"/>
                    </w:rPr>
                    <w:t>全国计算机等级考试一级b以上（含一级b）</w:t>
                  </w:r>
                </w:p>
              </w:tc>
              <w:tc>
                <w:tcPr>
                  <w:tcW w:w="1406" w:type="dxa"/>
                  <w:vAlign w:val="center"/>
                </w:tcPr>
                <w:p>
                  <w:pPr>
                    <w:jc w:val="left"/>
                    <w:rPr>
                      <w:rFonts w:ascii="仿宋" w:hAnsi="仿宋" w:eastAsia="仿宋" w:cs="仿宋"/>
                      <w:bCs/>
                      <w:sz w:val="28"/>
                      <w:szCs w:val="28"/>
                    </w:rPr>
                  </w:pPr>
                  <w:r>
                    <w:rPr>
                      <w:rFonts w:hint="eastAsia" w:ascii="仿宋" w:hAnsi="仿宋" w:eastAsia="仿宋" w:cs="仿宋"/>
                      <w:bCs/>
                      <w:sz w:val="28"/>
                      <w:szCs w:val="28"/>
                    </w:rPr>
                    <w:t>教育部考试中心</w:t>
                  </w:r>
                </w:p>
              </w:tc>
              <w:tc>
                <w:tcPr>
                  <w:tcW w:w="1731" w:type="dxa"/>
                  <w:vAlign w:val="center"/>
                </w:tcPr>
                <w:p>
                  <w:pPr>
                    <w:jc w:val="left"/>
                    <w:rPr>
                      <w:rFonts w:ascii="仿宋" w:hAnsi="仿宋" w:eastAsia="仿宋" w:cs="仿宋"/>
                      <w:bCs/>
                      <w:sz w:val="28"/>
                      <w:szCs w:val="28"/>
                    </w:rPr>
                  </w:pPr>
                  <w:r>
                    <w:rPr>
                      <w:rFonts w:hint="eastAsia" w:ascii="仿宋" w:hAnsi="仿宋" w:eastAsia="仿宋" w:cs="仿宋"/>
                      <w:bCs/>
                      <w:sz w:val="28"/>
                      <w:szCs w:val="28"/>
                    </w:rPr>
                    <w:t>计算机应用基础</w:t>
                  </w:r>
                </w:p>
              </w:tc>
              <w:tc>
                <w:tcPr>
                  <w:tcW w:w="1082" w:type="dxa"/>
                  <w:vAlign w:val="center"/>
                </w:tcPr>
                <w:p>
                  <w:pPr>
                    <w:jc w:val="left"/>
                    <w:rPr>
                      <w:rFonts w:ascii="仿宋" w:hAnsi="仿宋" w:eastAsia="仿宋" w:cs="仿宋"/>
                      <w:bCs/>
                      <w:sz w:val="28"/>
                      <w:szCs w:val="28"/>
                    </w:rPr>
                  </w:pPr>
                  <w:r>
                    <w:rPr>
                      <w:rFonts w:hint="eastAsia" w:ascii="仿宋" w:hAnsi="仿宋" w:eastAsia="仿宋" w:cs="仿宋"/>
                      <w:bCs/>
                      <w:sz w:val="28"/>
                      <w:szCs w:val="28"/>
                    </w:rPr>
                    <w:t>4</w:t>
                  </w:r>
                </w:p>
              </w:tc>
              <w:tc>
                <w:tcPr>
                  <w:tcW w:w="1407" w:type="dxa"/>
                  <w:vAlign w:val="center"/>
                </w:tcPr>
                <w:p>
                  <w:pPr>
                    <w:jc w:val="left"/>
                    <w:rPr>
                      <w:rFonts w:ascii="仿宋" w:hAnsi="仿宋" w:eastAsia="仿宋" w:cs="仿宋"/>
                      <w:bCs/>
                      <w:sz w:val="28"/>
                      <w:szCs w:val="28"/>
                    </w:rPr>
                  </w:pPr>
                  <w:r>
                    <w:rPr>
                      <w:rFonts w:hint="eastAsia" w:ascii="仿宋" w:hAnsi="仿宋" w:eastAsia="仿宋" w:cs="仿宋"/>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restart"/>
                </w:tcPr>
                <w:p>
                  <w:pPr>
                    <w:outlineLvl w:val="1"/>
                    <w:rPr>
                      <w:rFonts w:ascii="仿宋" w:hAnsi="仿宋" w:eastAsia="仿宋" w:cs="仿宋"/>
                      <w:bCs/>
                      <w:sz w:val="28"/>
                      <w:szCs w:val="28"/>
                    </w:rPr>
                  </w:pPr>
                  <w:r>
                    <w:rPr>
                      <w:rFonts w:hint="eastAsia" w:ascii="仿宋" w:hAnsi="仿宋" w:eastAsia="仿宋" w:cs="仿宋"/>
                      <w:bCs/>
                      <w:sz w:val="28"/>
                      <w:szCs w:val="28"/>
                    </w:rPr>
                    <w:t>等级证书</w:t>
                  </w:r>
                </w:p>
              </w:tc>
              <w:tc>
                <w:tcPr>
                  <w:tcW w:w="1406" w:type="dxa"/>
                  <w:vMerge w:val="restart"/>
                  <w:vAlign w:val="center"/>
                </w:tcPr>
                <w:p>
                  <w:pPr>
                    <w:jc w:val="left"/>
                    <w:rPr>
                      <w:rFonts w:ascii="仿宋" w:hAnsi="仿宋" w:eastAsia="仿宋" w:cs="仿宋"/>
                      <w:bCs/>
                      <w:sz w:val="28"/>
                      <w:szCs w:val="28"/>
                    </w:rPr>
                  </w:pPr>
                  <w:r>
                    <w:rPr>
                      <w:rFonts w:hint="eastAsia" w:ascii="仿宋" w:hAnsi="仿宋" w:eastAsia="仿宋" w:cs="仿宋"/>
                      <w:bCs/>
                      <w:sz w:val="28"/>
                      <w:szCs w:val="28"/>
                    </w:rPr>
                    <w:t>全国公共英语等级考试三级以上（含三级）</w:t>
                  </w:r>
                </w:p>
              </w:tc>
              <w:tc>
                <w:tcPr>
                  <w:tcW w:w="1406" w:type="dxa"/>
                  <w:vMerge w:val="restart"/>
                  <w:vAlign w:val="center"/>
                </w:tcPr>
                <w:p>
                  <w:pPr>
                    <w:jc w:val="left"/>
                    <w:rPr>
                      <w:rFonts w:ascii="仿宋" w:hAnsi="仿宋" w:eastAsia="仿宋" w:cs="仿宋"/>
                      <w:bCs/>
                      <w:sz w:val="28"/>
                      <w:szCs w:val="28"/>
                    </w:rPr>
                  </w:pPr>
                  <w:r>
                    <w:rPr>
                      <w:rFonts w:hint="eastAsia" w:ascii="仿宋" w:hAnsi="仿宋" w:eastAsia="仿宋" w:cs="仿宋"/>
                      <w:bCs/>
                      <w:sz w:val="28"/>
                      <w:szCs w:val="28"/>
                    </w:rPr>
                    <w:t>教育部考试中心</w:t>
                  </w:r>
                </w:p>
              </w:tc>
              <w:tc>
                <w:tcPr>
                  <w:tcW w:w="1731" w:type="dxa"/>
                  <w:vAlign w:val="center"/>
                </w:tcPr>
                <w:p>
                  <w:pPr>
                    <w:jc w:val="left"/>
                    <w:rPr>
                      <w:rFonts w:ascii="仿宋" w:hAnsi="仿宋" w:eastAsia="仿宋" w:cs="仿宋"/>
                      <w:bCs/>
                      <w:sz w:val="28"/>
                      <w:szCs w:val="28"/>
                    </w:rPr>
                  </w:pPr>
                  <w:r>
                    <w:rPr>
                      <w:rFonts w:hint="eastAsia" w:ascii="仿宋" w:hAnsi="仿宋" w:eastAsia="仿宋" w:cs="仿宋"/>
                      <w:bCs/>
                      <w:sz w:val="28"/>
                      <w:szCs w:val="28"/>
                    </w:rPr>
                    <w:t>英语（1）</w:t>
                  </w:r>
                </w:p>
              </w:tc>
              <w:tc>
                <w:tcPr>
                  <w:tcW w:w="1082" w:type="dxa"/>
                  <w:vAlign w:val="center"/>
                </w:tcPr>
                <w:p>
                  <w:pPr>
                    <w:jc w:val="left"/>
                    <w:rPr>
                      <w:rFonts w:ascii="仿宋" w:hAnsi="仿宋" w:eastAsia="仿宋" w:cs="仿宋"/>
                      <w:bCs/>
                      <w:sz w:val="28"/>
                      <w:szCs w:val="28"/>
                    </w:rPr>
                  </w:pPr>
                  <w:r>
                    <w:rPr>
                      <w:rFonts w:hint="eastAsia" w:ascii="仿宋" w:hAnsi="仿宋" w:eastAsia="仿宋" w:cs="仿宋"/>
                      <w:bCs/>
                      <w:sz w:val="28"/>
                      <w:szCs w:val="28"/>
                    </w:rPr>
                    <w:t>3</w:t>
                  </w:r>
                </w:p>
              </w:tc>
              <w:tc>
                <w:tcPr>
                  <w:tcW w:w="1407" w:type="dxa"/>
                  <w:vAlign w:val="center"/>
                </w:tcPr>
                <w:p>
                  <w:pPr>
                    <w:jc w:val="left"/>
                    <w:rPr>
                      <w:rFonts w:ascii="仿宋" w:hAnsi="仿宋" w:eastAsia="仿宋" w:cs="仿宋"/>
                      <w:bCs/>
                      <w:sz w:val="28"/>
                      <w:szCs w:val="28"/>
                    </w:rPr>
                  </w:pPr>
                  <w:r>
                    <w:rPr>
                      <w:rFonts w:hint="eastAsia" w:ascii="仿宋" w:hAnsi="仿宋" w:eastAsia="仿宋" w:cs="仿宋"/>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continue"/>
                </w:tcPr>
                <w:p>
                  <w:pPr>
                    <w:outlineLvl w:val="1"/>
                    <w:rPr>
                      <w:rFonts w:ascii="仿宋" w:hAnsi="仿宋" w:eastAsia="仿宋" w:cs="仿宋"/>
                      <w:bCs/>
                      <w:sz w:val="28"/>
                      <w:szCs w:val="28"/>
                    </w:rPr>
                  </w:pPr>
                </w:p>
              </w:tc>
              <w:tc>
                <w:tcPr>
                  <w:tcW w:w="1406" w:type="dxa"/>
                  <w:vMerge w:val="continue"/>
                  <w:vAlign w:val="center"/>
                </w:tcPr>
                <w:p>
                  <w:pPr>
                    <w:jc w:val="left"/>
                    <w:rPr>
                      <w:rFonts w:ascii="仿宋" w:hAnsi="仿宋" w:eastAsia="仿宋" w:cs="仿宋"/>
                      <w:bCs/>
                      <w:sz w:val="28"/>
                      <w:szCs w:val="28"/>
                    </w:rPr>
                  </w:pPr>
                </w:p>
              </w:tc>
              <w:tc>
                <w:tcPr>
                  <w:tcW w:w="1406" w:type="dxa"/>
                  <w:vMerge w:val="continue"/>
                  <w:vAlign w:val="center"/>
                </w:tcPr>
                <w:p>
                  <w:pPr>
                    <w:jc w:val="left"/>
                    <w:rPr>
                      <w:rFonts w:ascii="仿宋" w:hAnsi="仿宋" w:eastAsia="仿宋" w:cs="仿宋"/>
                      <w:bCs/>
                      <w:sz w:val="28"/>
                      <w:szCs w:val="28"/>
                    </w:rPr>
                  </w:pPr>
                </w:p>
              </w:tc>
              <w:tc>
                <w:tcPr>
                  <w:tcW w:w="1731" w:type="dxa"/>
                  <w:vAlign w:val="center"/>
                </w:tcPr>
                <w:p>
                  <w:pPr>
                    <w:jc w:val="left"/>
                    <w:rPr>
                      <w:rFonts w:ascii="仿宋" w:hAnsi="仿宋" w:eastAsia="仿宋" w:cs="仿宋"/>
                      <w:bCs/>
                      <w:sz w:val="28"/>
                      <w:szCs w:val="28"/>
                    </w:rPr>
                  </w:pPr>
                  <w:r>
                    <w:rPr>
                      <w:rFonts w:hint="eastAsia" w:ascii="仿宋" w:hAnsi="仿宋" w:eastAsia="仿宋" w:cs="仿宋"/>
                      <w:bCs/>
                      <w:sz w:val="28"/>
                      <w:szCs w:val="28"/>
                    </w:rPr>
                    <w:t>英语（2）</w:t>
                  </w:r>
                </w:p>
              </w:tc>
              <w:tc>
                <w:tcPr>
                  <w:tcW w:w="1082" w:type="dxa"/>
                  <w:vAlign w:val="center"/>
                </w:tcPr>
                <w:p>
                  <w:pPr>
                    <w:jc w:val="left"/>
                    <w:rPr>
                      <w:rFonts w:ascii="仿宋" w:hAnsi="仿宋" w:eastAsia="仿宋" w:cs="仿宋"/>
                      <w:bCs/>
                      <w:sz w:val="28"/>
                      <w:szCs w:val="28"/>
                    </w:rPr>
                  </w:pPr>
                  <w:r>
                    <w:rPr>
                      <w:rFonts w:hint="eastAsia" w:ascii="仿宋" w:hAnsi="仿宋" w:eastAsia="仿宋" w:cs="仿宋"/>
                      <w:bCs/>
                      <w:sz w:val="28"/>
                      <w:szCs w:val="28"/>
                    </w:rPr>
                    <w:t>3</w:t>
                  </w:r>
                </w:p>
              </w:tc>
              <w:tc>
                <w:tcPr>
                  <w:tcW w:w="1407" w:type="dxa"/>
                  <w:vAlign w:val="center"/>
                </w:tcPr>
                <w:p>
                  <w:pPr>
                    <w:jc w:val="left"/>
                    <w:rPr>
                      <w:rFonts w:ascii="仿宋" w:hAnsi="仿宋" w:eastAsia="仿宋" w:cs="仿宋"/>
                      <w:bCs/>
                      <w:sz w:val="28"/>
                      <w:szCs w:val="28"/>
                    </w:rPr>
                  </w:pPr>
                  <w:r>
                    <w:rPr>
                      <w:rFonts w:hint="eastAsia" w:ascii="仿宋" w:hAnsi="仿宋" w:eastAsia="仿宋" w:cs="仿宋"/>
                      <w:bCs/>
                      <w:sz w:val="28"/>
                      <w:szCs w:val="28"/>
                    </w:rPr>
                    <w:t>3</w:t>
                  </w:r>
                </w:p>
              </w:tc>
            </w:tr>
          </w:tbl>
          <w:p>
            <w:pPr>
              <w:ind w:firstLine="562" w:firstLineChars="200"/>
              <w:outlineLvl w:val="1"/>
              <w:rPr>
                <w:rFonts w:ascii="宋体" w:hAnsi="宋体" w:cs="宋体"/>
                <w:b/>
                <w:bCs/>
                <w:sz w:val="28"/>
                <w:szCs w:val="28"/>
              </w:rPr>
            </w:pPr>
          </w:p>
          <w:tbl>
            <w:tblPr>
              <w:tblStyle w:val="1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17"/>
              <w:gridCol w:w="1418"/>
              <w:gridCol w:w="1701"/>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6"/>
                </w:tcPr>
                <w:p>
                  <w:pPr>
                    <w:jc w:val="center"/>
                    <w:outlineLvl w:val="1"/>
                    <w:rPr>
                      <w:rFonts w:ascii="宋体" w:hAnsi="宋体" w:cs="宋体"/>
                      <w:bCs/>
                      <w:sz w:val="28"/>
                      <w:szCs w:val="28"/>
                    </w:rPr>
                  </w:pPr>
                  <w:r>
                    <w:rPr>
                      <w:rFonts w:hint="eastAsia" w:ascii="宋体" w:hAnsi="宋体" w:cs="宋体"/>
                      <w:bCs/>
                      <w:sz w:val="28"/>
                      <w:szCs w:val="28"/>
                    </w:rPr>
                    <w:t>经验奖励类学习成果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utlineLvl w:val="1"/>
                    <w:rPr>
                      <w:rFonts w:ascii="宋体" w:hAnsi="宋体" w:cs="宋体"/>
                      <w:b/>
                      <w:bCs/>
                      <w:sz w:val="28"/>
                      <w:szCs w:val="28"/>
                    </w:rPr>
                  </w:pPr>
                  <w:r>
                    <w:rPr>
                      <w:rFonts w:hint="eastAsia" w:ascii="宋体" w:hAnsi="宋体" w:cs="宋体"/>
                      <w:b/>
                      <w:bCs/>
                      <w:sz w:val="28"/>
                      <w:szCs w:val="28"/>
                    </w:rPr>
                    <w:t>成果类别</w:t>
                  </w:r>
                </w:p>
              </w:tc>
              <w:tc>
                <w:tcPr>
                  <w:tcW w:w="1417" w:type="dxa"/>
                </w:tcPr>
                <w:p>
                  <w:pPr>
                    <w:outlineLvl w:val="1"/>
                    <w:rPr>
                      <w:rFonts w:ascii="宋体" w:hAnsi="宋体" w:cs="宋体"/>
                      <w:b/>
                      <w:bCs/>
                      <w:sz w:val="28"/>
                      <w:szCs w:val="28"/>
                    </w:rPr>
                  </w:pPr>
                  <w:r>
                    <w:rPr>
                      <w:rFonts w:hint="eastAsia" w:ascii="宋体" w:hAnsi="宋体" w:cs="宋体"/>
                      <w:b/>
                      <w:bCs/>
                      <w:sz w:val="28"/>
                      <w:szCs w:val="28"/>
                    </w:rPr>
                    <w:t>成果名称</w:t>
                  </w:r>
                </w:p>
              </w:tc>
              <w:tc>
                <w:tcPr>
                  <w:tcW w:w="1418" w:type="dxa"/>
                </w:tcPr>
                <w:p>
                  <w:pPr>
                    <w:outlineLvl w:val="1"/>
                    <w:rPr>
                      <w:rFonts w:ascii="宋体" w:hAnsi="宋体" w:cs="宋体"/>
                      <w:b/>
                      <w:bCs/>
                      <w:sz w:val="28"/>
                      <w:szCs w:val="28"/>
                    </w:rPr>
                  </w:pPr>
                  <w:r>
                    <w:rPr>
                      <w:rFonts w:hint="eastAsia" w:ascii="宋体" w:hAnsi="宋体" w:cs="宋体"/>
                      <w:b/>
                      <w:bCs/>
                      <w:sz w:val="28"/>
                      <w:szCs w:val="28"/>
                    </w:rPr>
                    <w:t>对应机构</w:t>
                  </w:r>
                </w:p>
              </w:tc>
              <w:tc>
                <w:tcPr>
                  <w:tcW w:w="1701" w:type="dxa"/>
                </w:tcPr>
                <w:p>
                  <w:pPr>
                    <w:outlineLvl w:val="1"/>
                    <w:rPr>
                      <w:rFonts w:ascii="宋体" w:hAnsi="宋体" w:cs="宋体"/>
                      <w:b/>
                      <w:bCs/>
                      <w:sz w:val="28"/>
                      <w:szCs w:val="28"/>
                    </w:rPr>
                  </w:pPr>
                  <w:r>
                    <w:rPr>
                      <w:rFonts w:hint="eastAsia" w:ascii="宋体" w:hAnsi="宋体" w:cs="宋体"/>
                      <w:b/>
                      <w:bCs/>
                      <w:sz w:val="28"/>
                      <w:szCs w:val="28"/>
                    </w:rPr>
                    <w:t>可转换实践课程</w:t>
                  </w:r>
                </w:p>
              </w:tc>
              <w:tc>
                <w:tcPr>
                  <w:tcW w:w="1134" w:type="dxa"/>
                </w:tcPr>
                <w:p>
                  <w:pPr>
                    <w:outlineLvl w:val="1"/>
                    <w:rPr>
                      <w:rFonts w:ascii="宋体" w:hAnsi="宋体" w:cs="宋体"/>
                      <w:b/>
                      <w:bCs/>
                      <w:sz w:val="28"/>
                      <w:szCs w:val="28"/>
                    </w:rPr>
                  </w:pPr>
                  <w:r>
                    <w:rPr>
                      <w:rFonts w:hint="eastAsia" w:ascii="宋体" w:hAnsi="宋体" w:cs="宋体"/>
                      <w:b/>
                      <w:bCs/>
                      <w:sz w:val="28"/>
                      <w:szCs w:val="28"/>
                    </w:rPr>
                    <w:t>对应学分</w:t>
                  </w:r>
                </w:p>
              </w:tc>
              <w:tc>
                <w:tcPr>
                  <w:tcW w:w="1417" w:type="dxa"/>
                </w:tcPr>
                <w:p>
                  <w:pPr>
                    <w:outlineLvl w:val="1"/>
                    <w:rPr>
                      <w:rFonts w:ascii="宋体" w:hAnsi="宋体" w:cs="宋体"/>
                      <w:b/>
                      <w:bCs/>
                      <w:sz w:val="28"/>
                      <w:szCs w:val="28"/>
                    </w:rPr>
                  </w:pPr>
                  <w:r>
                    <w:rPr>
                      <w:rFonts w:hint="eastAsia" w:ascii="宋体" w:hAnsi="宋体" w:cs="宋体"/>
                      <w:b/>
                      <w:bCs/>
                      <w:sz w:val="28"/>
                      <w:szCs w:val="28"/>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utlineLvl w:val="1"/>
                    <w:rPr>
                      <w:rFonts w:ascii="仿宋" w:hAnsi="仿宋" w:eastAsia="仿宋" w:cs="仿宋"/>
                      <w:bCs/>
                      <w:sz w:val="28"/>
                      <w:szCs w:val="28"/>
                    </w:rPr>
                  </w:pPr>
                  <w:r>
                    <w:rPr>
                      <w:rFonts w:hint="eastAsia" w:ascii="仿宋" w:hAnsi="仿宋" w:eastAsia="仿宋" w:cs="仿宋"/>
                      <w:bCs/>
                      <w:sz w:val="28"/>
                      <w:szCs w:val="28"/>
                    </w:rPr>
                    <w:t>学习经验</w:t>
                  </w:r>
                </w:p>
              </w:tc>
              <w:tc>
                <w:tcPr>
                  <w:tcW w:w="1417" w:type="dxa"/>
                </w:tcPr>
                <w:p>
                  <w:pPr>
                    <w:outlineLvl w:val="1"/>
                    <w:rPr>
                      <w:rFonts w:ascii="仿宋" w:hAnsi="仿宋" w:eastAsia="仿宋" w:cs="仿宋"/>
                      <w:bCs/>
                      <w:sz w:val="28"/>
                      <w:szCs w:val="28"/>
                    </w:rPr>
                  </w:pPr>
                  <w:r>
                    <w:rPr>
                      <w:rFonts w:hint="eastAsia" w:ascii="仿宋" w:hAnsi="仿宋" w:eastAsia="仿宋" w:cs="仿宋"/>
                      <w:bCs/>
                      <w:sz w:val="28"/>
                      <w:szCs w:val="28"/>
                    </w:rPr>
                    <w:t>“学习强国”学习积分</w:t>
                  </w:r>
                </w:p>
              </w:tc>
              <w:tc>
                <w:tcPr>
                  <w:tcW w:w="1418" w:type="dxa"/>
                </w:tcPr>
                <w:p>
                  <w:pPr>
                    <w:outlineLvl w:val="1"/>
                    <w:rPr>
                      <w:rFonts w:ascii="仿宋" w:hAnsi="仿宋" w:eastAsia="仿宋" w:cs="仿宋"/>
                      <w:bCs/>
                      <w:sz w:val="28"/>
                      <w:szCs w:val="28"/>
                    </w:rPr>
                  </w:pPr>
                  <w:r>
                    <w:rPr>
                      <w:rFonts w:hint="eastAsia" w:ascii="仿宋" w:hAnsi="仿宋" w:eastAsia="仿宋" w:cs="仿宋"/>
                      <w:bCs/>
                      <w:sz w:val="28"/>
                      <w:szCs w:val="28"/>
                    </w:rPr>
                    <w:t>中宣部</w:t>
                  </w:r>
                </w:p>
              </w:tc>
              <w:tc>
                <w:tcPr>
                  <w:tcW w:w="1701" w:type="dxa"/>
                  <w:vAlign w:val="center"/>
                </w:tcPr>
                <w:p>
                  <w:pPr>
                    <w:autoSpaceDE w:val="0"/>
                    <w:autoSpaceDN w:val="0"/>
                    <w:adjustRightInd w:val="0"/>
                    <w:rPr>
                      <w:rFonts w:ascii="仿宋" w:hAnsi="仿宋" w:eastAsia="仿宋" w:cs="仿宋"/>
                      <w:kern w:val="0"/>
                      <w:sz w:val="28"/>
                      <w:szCs w:val="28"/>
                    </w:rPr>
                  </w:pPr>
                  <w:r>
                    <w:rPr>
                      <w:rFonts w:hint="eastAsia" w:ascii="仿宋" w:hAnsi="仿宋" w:eastAsia="仿宋" w:cs="仿宋"/>
                      <w:kern w:val="0"/>
                      <w:sz w:val="28"/>
                      <w:szCs w:val="28"/>
                    </w:rPr>
                    <w:t>形势与政策</w:t>
                  </w:r>
                </w:p>
              </w:tc>
              <w:tc>
                <w:tcPr>
                  <w:tcW w:w="1134" w:type="dxa"/>
                </w:tcPr>
                <w:p>
                  <w:pPr>
                    <w:outlineLvl w:val="1"/>
                    <w:rPr>
                      <w:rFonts w:ascii="仿宋" w:hAnsi="仿宋" w:eastAsia="仿宋" w:cs="仿宋"/>
                      <w:bCs/>
                      <w:sz w:val="28"/>
                      <w:szCs w:val="28"/>
                    </w:rPr>
                  </w:pPr>
                  <w:r>
                    <w:rPr>
                      <w:rFonts w:hint="eastAsia" w:ascii="仿宋" w:hAnsi="仿宋" w:eastAsia="仿宋" w:cs="仿宋"/>
                      <w:bCs/>
                      <w:sz w:val="28"/>
                      <w:szCs w:val="28"/>
                    </w:rPr>
                    <w:t>1000</w:t>
                  </w:r>
                </w:p>
              </w:tc>
              <w:tc>
                <w:tcPr>
                  <w:tcW w:w="1417" w:type="dxa"/>
                </w:tcPr>
                <w:p>
                  <w:pPr>
                    <w:outlineLvl w:val="1"/>
                    <w:rPr>
                      <w:rFonts w:ascii="仿宋" w:hAnsi="仿宋" w:eastAsia="仿宋" w:cs="仿宋"/>
                      <w:bCs/>
                      <w:sz w:val="28"/>
                      <w:szCs w:val="28"/>
                    </w:rPr>
                  </w:pPr>
                  <w:r>
                    <w:rPr>
                      <w:rFonts w:hint="eastAsia" w:ascii="仿宋" w:hAnsi="仿宋" w:eastAsia="仿宋" w:cs="仿宋"/>
                      <w:b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utlineLvl w:val="1"/>
                    <w:rPr>
                      <w:rFonts w:ascii="仿宋" w:hAnsi="仿宋" w:eastAsia="仿宋" w:cs="仿宋"/>
                      <w:bCs/>
                      <w:sz w:val="28"/>
                      <w:szCs w:val="28"/>
                    </w:rPr>
                  </w:pPr>
                  <w:r>
                    <w:rPr>
                      <w:rFonts w:hint="eastAsia" w:ascii="仿宋" w:hAnsi="仿宋" w:eastAsia="仿宋" w:cs="仿宋"/>
                      <w:bCs/>
                      <w:sz w:val="28"/>
                      <w:szCs w:val="28"/>
                    </w:rPr>
                    <w:t>工作经验</w:t>
                  </w:r>
                </w:p>
              </w:tc>
              <w:tc>
                <w:tcPr>
                  <w:tcW w:w="1417" w:type="dxa"/>
                </w:tcPr>
                <w:p>
                  <w:pPr>
                    <w:outlineLvl w:val="1"/>
                    <w:rPr>
                      <w:rFonts w:ascii="仿宋" w:hAnsi="仿宋" w:eastAsia="仿宋" w:cs="仿宋"/>
                      <w:bCs/>
                      <w:sz w:val="28"/>
                      <w:szCs w:val="28"/>
                    </w:rPr>
                  </w:pPr>
                  <w:r>
                    <w:rPr>
                      <w:rFonts w:hint="eastAsia" w:ascii="仿宋" w:hAnsi="仿宋" w:eastAsia="仿宋" w:cs="仿宋"/>
                      <w:bCs/>
                      <w:sz w:val="28"/>
                      <w:szCs w:val="28"/>
                    </w:rPr>
                    <w:t>药师药剂岗位1年及以上工作经历</w:t>
                  </w:r>
                </w:p>
              </w:tc>
              <w:tc>
                <w:tcPr>
                  <w:tcW w:w="1418" w:type="dxa"/>
                </w:tcPr>
                <w:p>
                  <w:pPr>
                    <w:outlineLvl w:val="1"/>
                    <w:rPr>
                      <w:rFonts w:ascii="仿宋" w:hAnsi="仿宋" w:eastAsia="仿宋" w:cs="仿宋"/>
                      <w:bCs/>
                      <w:sz w:val="28"/>
                      <w:szCs w:val="28"/>
                    </w:rPr>
                  </w:pPr>
                  <w:r>
                    <w:rPr>
                      <w:rFonts w:hint="eastAsia" w:ascii="仿宋" w:hAnsi="仿宋" w:eastAsia="仿宋" w:cs="仿宋"/>
                      <w:bCs/>
                      <w:sz w:val="28"/>
                      <w:szCs w:val="28"/>
                    </w:rPr>
                    <w:t>医疗保健康养</w:t>
                  </w:r>
                </w:p>
              </w:tc>
              <w:tc>
                <w:tcPr>
                  <w:tcW w:w="1701" w:type="dxa"/>
                </w:tcPr>
                <w:p>
                  <w:pPr>
                    <w:outlineLvl w:val="1"/>
                    <w:rPr>
                      <w:rFonts w:ascii="仿宋" w:hAnsi="仿宋" w:eastAsia="仿宋" w:cs="仿宋"/>
                      <w:bCs/>
                      <w:sz w:val="28"/>
                      <w:szCs w:val="28"/>
                    </w:rPr>
                  </w:pPr>
                  <w:r>
                    <w:rPr>
                      <w:rFonts w:hint="eastAsia" w:ascii="仿宋" w:hAnsi="仿宋" w:eastAsia="仿宋" w:cs="仿宋"/>
                      <w:bCs/>
                      <w:sz w:val="28"/>
                      <w:szCs w:val="28"/>
                    </w:rPr>
                    <w:t>医药类岗位技能训练</w:t>
                  </w:r>
                </w:p>
              </w:tc>
              <w:tc>
                <w:tcPr>
                  <w:tcW w:w="1134" w:type="dxa"/>
                </w:tcPr>
                <w:p>
                  <w:pPr>
                    <w:outlineLvl w:val="1"/>
                    <w:rPr>
                      <w:rFonts w:ascii="仿宋" w:hAnsi="仿宋" w:eastAsia="仿宋" w:cs="仿宋"/>
                      <w:bCs/>
                      <w:sz w:val="28"/>
                      <w:szCs w:val="28"/>
                    </w:rPr>
                  </w:pPr>
                  <w:r>
                    <w:rPr>
                      <w:rFonts w:hint="eastAsia" w:ascii="仿宋" w:hAnsi="仿宋" w:eastAsia="仿宋" w:cs="仿宋"/>
                      <w:bCs/>
                      <w:sz w:val="28"/>
                      <w:szCs w:val="28"/>
                    </w:rPr>
                    <w:t>3</w:t>
                  </w:r>
                </w:p>
              </w:tc>
              <w:tc>
                <w:tcPr>
                  <w:tcW w:w="1417" w:type="dxa"/>
                </w:tcPr>
                <w:p>
                  <w:pPr>
                    <w:outlineLvl w:val="1"/>
                    <w:rPr>
                      <w:rFonts w:ascii="仿宋" w:hAnsi="仿宋" w:eastAsia="仿宋" w:cs="仿宋"/>
                      <w:bCs/>
                      <w:sz w:val="28"/>
                      <w:szCs w:val="28"/>
                    </w:rPr>
                  </w:pPr>
                  <w:r>
                    <w:rPr>
                      <w:rFonts w:hint="eastAsia" w:ascii="仿宋" w:hAnsi="仿宋" w:eastAsia="仿宋" w:cs="仿宋"/>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utlineLvl w:val="1"/>
                    <w:rPr>
                      <w:rFonts w:ascii="仿宋" w:hAnsi="仿宋" w:eastAsia="仿宋" w:cs="仿宋"/>
                      <w:bCs/>
                      <w:sz w:val="28"/>
                      <w:szCs w:val="28"/>
                    </w:rPr>
                  </w:pPr>
                  <w:r>
                    <w:rPr>
                      <w:rFonts w:hint="eastAsia" w:ascii="仿宋" w:hAnsi="仿宋" w:eastAsia="仿宋" w:cs="仿宋"/>
                      <w:bCs/>
                      <w:sz w:val="28"/>
                      <w:szCs w:val="28"/>
                    </w:rPr>
                    <w:t>竞赛获奖</w:t>
                  </w:r>
                </w:p>
              </w:tc>
              <w:tc>
                <w:tcPr>
                  <w:tcW w:w="1417" w:type="dxa"/>
                </w:tcPr>
                <w:p>
                  <w:pPr>
                    <w:outlineLvl w:val="1"/>
                    <w:rPr>
                      <w:rFonts w:ascii="仿宋" w:hAnsi="仿宋" w:eastAsia="仿宋" w:cs="仿宋"/>
                      <w:bCs/>
                      <w:sz w:val="28"/>
                      <w:szCs w:val="28"/>
                    </w:rPr>
                  </w:pPr>
                  <w:r>
                    <w:rPr>
                      <w:rFonts w:hint="eastAsia" w:ascii="仿宋" w:hAnsi="仿宋" w:eastAsia="仿宋" w:cs="仿宋"/>
                      <w:bCs/>
                      <w:sz w:val="28"/>
                      <w:szCs w:val="28"/>
                    </w:rPr>
                    <w:t>市级或以上财务相关技能竞赛3等奖及以上</w:t>
                  </w:r>
                </w:p>
              </w:tc>
              <w:tc>
                <w:tcPr>
                  <w:tcW w:w="1418" w:type="dxa"/>
                </w:tcPr>
                <w:p>
                  <w:pPr>
                    <w:outlineLvl w:val="1"/>
                    <w:rPr>
                      <w:rFonts w:ascii="仿宋" w:hAnsi="仿宋" w:eastAsia="仿宋" w:cs="仿宋"/>
                      <w:bCs/>
                      <w:sz w:val="28"/>
                      <w:szCs w:val="28"/>
                    </w:rPr>
                  </w:pPr>
                  <w:r>
                    <w:rPr>
                      <w:rFonts w:hint="eastAsia" w:ascii="仿宋" w:hAnsi="仿宋" w:eastAsia="仿宋" w:cs="仿宋"/>
                      <w:bCs/>
                      <w:sz w:val="28"/>
                      <w:szCs w:val="28"/>
                    </w:rPr>
                    <w:t>医疗保健康养</w:t>
                  </w:r>
                </w:p>
              </w:tc>
              <w:tc>
                <w:tcPr>
                  <w:tcW w:w="1701" w:type="dxa"/>
                </w:tcPr>
                <w:p>
                  <w:pPr>
                    <w:outlineLvl w:val="1"/>
                    <w:rPr>
                      <w:rFonts w:ascii="仿宋" w:hAnsi="仿宋" w:eastAsia="仿宋" w:cs="仿宋"/>
                      <w:bCs/>
                      <w:sz w:val="28"/>
                      <w:szCs w:val="28"/>
                    </w:rPr>
                  </w:pPr>
                  <w:r>
                    <w:rPr>
                      <w:rFonts w:hint="eastAsia" w:ascii="仿宋" w:hAnsi="仿宋" w:eastAsia="仿宋" w:cs="仿宋"/>
                      <w:bCs/>
                      <w:sz w:val="28"/>
                      <w:szCs w:val="28"/>
                    </w:rPr>
                    <w:t>医药类岗位技能训练</w:t>
                  </w:r>
                </w:p>
              </w:tc>
              <w:tc>
                <w:tcPr>
                  <w:tcW w:w="1134" w:type="dxa"/>
                </w:tcPr>
                <w:p>
                  <w:pPr>
                    <w:outlineLvl w:val="1"/>
                    <w:rPr>
                      <w:rFonts w:ascii="仿宋" w:hAnsi="仿宋" w:eastAsia="仿宋" w:cs="仿宋"/>
                      <w:bCs/>
                      <w:sz w:val="28"/>
                      <w:szCs w:val="28"/>
                    </w:rPr>
                  </w:pPr>
                  <w:r>
                    <w:rPr>
                      <w:rFonts w:hint="eastAsia" w:ascii="仿宋" w:hAnsi="仿宋" w:eastAsia="仿宋" w:cs="仿宋"/>
                      <w:bCs/>
                      <w:sz w:val="28"/>
                      <w:szCs w:val="28"/>
                    </w:rPr>
                    <w:t>3</w:t>
                  </w:r>
                </w:p>
              </w:tc>
              <w:tc>
                <w:tcPr>
                  <w:tcW w:w="1417" w:type="dxa"/>
                </w:tcPr>
                <w:p>
                  <w:pPr>
                    <w:outlineLvl w:val="1"/>
                    <w:rPr>
                      <w:rFonts w:ascii="仿宋" w:hAnsi="仿宋" w:eastAsia="仿宋" w:cs="仿宋"/>
                      <w:bCs/>
                      <w:sz w:val="28"/>
                      <w:szCs w:val="28"/>
                    </w:rPr>
                  </w:pPr>
                  <w:r>
                    <w:rPr>
                      <w:rFonts w:hint="eastAsia" w:ascii="仿宋" w:hAnsi="仿宋" w:eastAsia="仿宋" w:cs="仿宋"/>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utlineLvl w:val="1"/>
                    <w:rPr>
                      <w:rFonts w:ascii="仿宋" w:hAnsi="仿宋" w:eastAsia="仿宋" w:cs="仿宋"/>
                      <w:bCs/>
                      <w:sz w:val="28"/>
                      <w:szCs w:val="28"/>
                    </w:rPr>
                  </w:pPr>
                  <w:r>
                    <w:rPr>
                      <w:rFonts w:hint="eastAsia" w:ascii="仿宋" w:hAnsi="仿宋" w:eastAsia="仿宋" w:cs="仿宋"/>
                      <w:bCs/>
                      <w:sz w:val="28"/>
                      <w:szCs w:val="28"/>
                    </w:rPr>
                    <w:t>获得奖励</w:t>
                  </w:r>
                </w:p>
              </w:tc>
              <w:tc>
                <w:tcPr>
                  <w:tcW w:w="1417" w:type="dxa"/>
                </w:tcPr>
                <w:p>
                  <w:pPr>
                    <w:outlineLvl w:val="1"/>
                    <w:rPr>
                      <w:rFonts w:ascii="仿宋" w:hAnsi="仿宋" w:eastAsia="仿宋" w:cs="仿宋"/>
                      <w:bCs/>
                      <w:sz w:val="28"/>
                      <w:szCs w:val="28"/>
                    </w:rPr>
                  </w:pPr>
                  <w:r>
                    <w:rPr>
                      <w:rFonts w:hint="eastAsia" w:ascii="仿宋" w:hAnsi="仿宋" w:eastAsia="仿宋" w:cs="仿宋"/>
                      <w:bCs/>
                      <w:sz w:val="28"/>
                      <w:szCs w:val="28"/>
                    </w:rPr>
                    <w:t>市级或以上财务相关工作奖励</w:t>
                  </w:r>
                </w:p>
              </w:tc>
              <w:tc>
                <w:tcPr>
                  <w:tcW w:w="1418" w:type="dxa"/>
                </w:tcPr>
                <w:p>
                  <w:pPr>
                    <w:outlineLvl w:val="1"/>
                    <w:rPr>
                      <w:rFonts w:ascii="仿宋" w:hAnsi="仿宋" w:eastAsia="仿宋" w:cs="仿宋"/>
                      <w:bCs/>
                      <w:sz w:val="28"/>
                      <w:szCs w:val="28"/>
                    </w:rPr>
                  </w:pPr>
                  <w:r>
                    <w:rPr>
                      <w:rFonts w:hint="eastAsia" w:ascii="仿宋" w:hAnsi="仿宋" w:eastAsia="仿宋" w:cs="仿宋"/>
                      <w:bCs/>
                      <w:sz w:val="28"/>
                      <w:szCs w:val="28"/>
                    </w:rPr>
                    <w:t>医疗保健康养</w:t>
                  </w:r>
                </w:p>
              </w:tc>
              <w:tc>
                <w:tcPr>
                  <w:tcW w:w="1701" w:type="dxa"/>
                </w:tcPr>
                <w:p>
                  <w:pPr>
                    <w:outlineLvl w:val="1"/>
                    <w:rPr>
                      <w:rFonts w:ascii="仿宋" w:hAnsi="仿宋" w:eastAsia="仿宋" w:cs="仿宋"/>
                      <w:bCs/>
                      <w:sz w:val="28"/>
                      <w:szCs w:val="28"/>
                    </w:rPr>
                  </w:pPr>
                  <w:r>
                    <w:rPr>
                      <w:rFonts w:hint="eastAsia" w:ascii="仿宋" w:hAnsi="仿宋" w:eastAsia="仿宋" w:cs="仿宋"/>
                      <w:bCs/>
                      <w:sz w:val="28"/>
                      <w:szCs w:val="28"/>
                    </w:rPr>
                    <w:t>医药类岗位技能训练</w:t>
                  </w:r>
                </w:p>
              </w:tc>
              <w:tc>
                <w:tcPr>
                  <w:tcW w:w="1134" w:type="dxa"/>
                </w:tcPr>
                <w:p>
                  <w:pPr>
                    <w:outlineLvl w:val="1"/>
                    <w:rPr>
                      <w:rFonts w:ascii="仿宋" w:hAnsi="仿宋" w:eastAsia="仿宋" w:cs="仿宋"/>
                      <w:bCs/>
                      <w:sz w:val="28"/>
                      <w:szCs w:val="28"/>
                    </w:rPr>
                  </w:pPr>
                  <w:r>
                    <w:rPr>
                      <w:rFonts w:hint="eastAsia" w:ascii="仿宋" w:hAnsi="仿宋" w:eastAsia="仿宋" w:cs="仿宋"/>
                      <w:bCs/>
                      <w:sz w:val="28"/>
                      <w:szCs w:val="28"/>
                    </w:rPr>
                    <w:t>3</w:t>
                  </w:r>
                </w:p>
              </w:tc>
              <w:tc>
                <w:tcPr>
                  <w:tcW w:w="1417" w:type="dxa"/>
                </w:tcPr>
                <w:p>
                  <w:pPr>
                    <w:outlineLvl w:val="1"/>
                    <w:rPr>
                      <w:rFonts w:ascii="仿宋" w:hAnsi="仿宋" w:eastAsia="仿宋" w:cs="仿宋"/>
                      <w:bCs/>
                      <w:sz w:val="28"/>
                      <w:szCs w:val="28"/>
                    </w:rPr>
                  </w:pPr>
                  <w:r>
                    <w:rPr>
                      <w:rFonts w:hint="eastAsia" w:ascii="仿宋" w:hAnsi="仿宋" w:eastAsia="仿宋" w:cs="仿宋"/>
                      <w:bCs/>
                      <w:sz w:val="28"/>
                      <w:szCs w:val="28"/>
                    </w:rPr>
                    <w:t>3</w:t>
                  </w:r>
                </w:p>
              </w:tc>
            </w:tr>
          </w:tbl>
          <w:p>
            <w:pPr>
              <w:ind w:firstLine="560" w:firstLineChars="200"/>
              <w:outlineLvl w:val="1"/>
              <w:rPr>
                <w:rFonts w:ascii="宋体" w:hAnsi="宋体" w:cs="宋体"/>
                <w:bCs/>
                <w:sz w:val="28"/>
                <w:szCs w:val="28"/>
              </w:rPr>
            </w:pPr>
          </w:p>
          <w:tbl>
            <w:tblPr>
              <w:tblStyle w:val="1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1418"/>
              <w:gridCol w:w="1701"/>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6"/>
                </w:tcPr>
                <w:p>
                  <w:pPr>
                    <w:jc w:val="center"/>
                    <w:outlineLvl w:val="1"/>
                    <w:rPr>
                      <w:rFonts w:ascii="宋体" w:hAnsi="宋体" w:cs="宋体"/>
                      <w:bCs/>
                      <w:sz w:val="28"/>
                      <w:szCs w:val="28"/>
                    </w:rPr>
                  </w:pPr>
                  <w:r>
                    <w:rPr>
                      <w:rFonts w:hint="eastAsia" w:ascii="宋体" w:hAnsi="宋体" w:cs="宋体"/>
                      <w:bCs/>
                      <w:sz w:val="28"/>
                      <w:szCs w:val="28"/>
                    </w:rPr>
                    <w:t>培训类学习成果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utlineLvl w:val="1"/>
                    <w:rPr>
                      <w:rFonts w:ascii="宋体" w:hAnsi="宋体" w:cs="宋体"/>
                      <w:b/>
                      <w:bCs/>
                      <w:sz w:val="28"/>
                      <w:szCs w:val="28"/>
                    </w:rPr>
                  </w:pPr>
                  <w:r>
                    <w:rPr>
                      <w:rFonts w:hint="eastAsia" w:ascii="宋体" w:hAnsi="宋体" w:cs="宋体"/>
                      <w:b/>
                      <w:bCs/>
                      <w:sz w:val="28"/>
                      <w:szCs w:val="28"/>
                    </w:rPr>
                    <w:t>成果类别</w:t>
                  </w:r>
                </w:p>
              </w:tc>
              <w:tc>
                <w:tcPr>
                  <w:tcW w:w="1275" w:type="dxa"/>
                </w:tcPr>
                <w:p>
                  <w:pPr>
                    <w:outlineLvl w:val="1"/>
                    <w:rPr>
                      <w:rFonts w:ascii="宋体" w:hAnsi="宋体" w:cs="宋体"/>
                      <w:b/>
                      <w:bCs/>
                      <w:sz w:val="28"/>
                      <w:szCs w:val="28"/>
                    </w:rPr>
                  </w:pPr>
                  <w:r>
                    <w:rPr>
                      <w:rFonts w:hint="eastAsia" w:ascii="宋体" w:hAnsi="宋体" w:cs="宋体"/>
                      <w:b/>
                      <w:bCs/>
                      <w:sz w:val="28"/>
                      <w:szCs w:val="28"/>
                    </w:rPr>
                    <w:t>成果名称</w:t>
                  </w:r>
                </w:p>
              </w:tc>
              <w:tc>
                <w:tcPr>
                  <w:tcW w:w="1418" w:type="dxa"/>
                </w:tcPr>
                <w:p>
                  <w:pPr>
                    <w:outlineLvl w:val="1"/>
                    <w:rPr>
                      <w:rFonts w:ascii="宋体" w:hAnsi="宋体" w:cs="宋体"/>
                      <w:b/>
                      <w:bCs/>
                      <w:sz w:val="28"/>
                      <w:szCs w:val="28"/>
                    </w:rPr>
                  </w:pPr>
                  <w:r>
                    <w:rPr>
                      <w:rFonts w:hint="eastAsia" w:ascii="宋体" w:hAnsi="宋体" w:cs="宋体"/>
                      <w:b/>
                      <w:bCs/>
                      <w:sz w:val="28"/>
                      <w:szCs w:val="28"/>
                    </w:rPr>
                    <w:t>对应机构</w:t>
                  </w:r>
                </w:p>
              </w:tc>
              <w:tc>
                <w:tcPr>
                  <w:tcW w:w="1701" w:type="dxa"/>
                </w:tcPr>
                <w:p>
                  <w:pPr>
                    <w:outlineLvl w:val="1"/>
                    <w:rPr>
                      <w:rFonts w:ascii="宋体" w:hAnsi="宋体" w:cs="宋体"/>
                      <w:b/>
                      <w:bCs/>
                      <w:sz w:val="28"/>
                      <w:szCs w:val="28"/>
                    </w:rPr>
                  </w:pPr>
                  <w:r>
                    <w:rPr>
                      <w:rFonts w:hint="eastAsia" w:ascii="宋体" w:hAnsi="宋体" w:cs="宋体"/>
                      <w:b/>
                      <w:bCs/>
                      <w:sz w:val="28"/>
                      <w:szCs w:val="28"/>
                    </w:rPr>
                    <w:t>可转换实践课程</w:t>
                  </w:r>
                </w:p>
              </w:tc>
              <w:tc>
                <w:tcPr>
                  <w:tcW w:w="1134" w:type="dxa"/>
                </w:tcPr>
                <w:p>
                  <w:pPr>
                    <w:outlineLvl w:val="1"/>
                    <w:rPr>
                      <w:rFonts w:ascii="宋体" w:hAnsi="宋体" w:cs="宋体"/>
                      <w:b/>
                      <w:bCs/>
                      <w:sz w:val="28"/>
                      <w:szCs w:val="28"/>
                    </w:rPr>
                  </w:pPr>
                  <w:r>
                    <w:rPr>
                      <w:rFonts w:hint="eastAsia" w:ascii="宋体" w:hAnsi="宋体" w:cs="宋体"/>
                      <w:b/>
                      <w:bCs/>
                      <w:sz w:val="28"/>
                      <w:szCs w:val="28"/>
                    </w:rPr>
                    <w:t>对应学分</w:t>
                  </w:r>
                </w:p>
              </w:tc>
              <w:tc>
                <w:tcPr>
                  <w:tcW w:w="1417" w:type="dxa"/>
                </w:tcPr>
                <w:p>
                  <w:pPr>
                    <w:outlineLvl w:val="1"/>
                    <w:rPr>
                      <w:rFonts w:ascii="宋体" w:hAnsi="宋体" w:cs="宋体"/>
                      <w:b/>
                      <w:bCs/>
                      <w:sz w:val="28"/>
                      <w:szCs w:val="28"/>
                    </w:rPr>
                  </w:pPr>
                  <w:r>
                    <w:rPr>
                      <w:rFonts w:hint="eastAsia" w:ascii="宋体" w:hAnsi="宋体" w:cs="宋体"/>
                      <w:b/>
                      <w:bCs/>
                      <w:sz w:val="28"/>
                      <w:szCs w:val="28"/>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utlineLvl w:val="1"/>
                    <w:rPr>
                      <w:rFonts w:ascii="仿宋" w:hAnsi="仿宋" w:eastAsia="仿宋" w:cs="仿宋"/>
                      <w:bCs/>
                      <w:sz w:val="28"/>
                      <w:szCs w:val="28"/>
                    </w:rPr>
                  </w:pPr>
                  <w:r>
                    <w:rPr>
                      <w:rFonts w:hint="eastAsia" w:ascii="仿宋" w:hAnsi="仿宋" w:eastAsia="仿宋" w:cs="仿宋"/>
                      <w:bCs/>
                      <w:sz w:val="28"/>
                      <w:szCs w:val="28"/>
                    </w:rPr>
                    <w:t>行业、部委培训</w:t>
                  </w:r>
                </w:p>
              </w:tc>
              <w:tc>
                <w:tcPr>
                  <w:tcW w:w="1275" w:type="dxa"/>
                </w:tcPr>
                <w:p>
                  <w:pPr>
                    <w:outlineLvl w:val="1"/>
                    <w:rPr>
                      <w:rFonts w:ascii="仿宋" w:hAnsi="仿宋" w:eastAsia="仿宋" w:cs="仿宋"/>
                      <w:bCs/>
                      <w:sz w:val="28"/>
                      <w:szCs w:val="28"/>
                    </w:rPr>
                  </w:pPr>
                  <w:r>
                    <w:rPr>
                      <w:rFonts w:hint="eastAsia" w:ascii="仿宋" w:hAnsi="仿宋" w:eastAsia="仿宋" w:cs="仿宋"/>
                      <w:bCs/>
                      <w:sz w:val="28"/>
                      <w:szCs w:val="28"/>
                    </w:rPr>
                    <w:t>医疗行业人员继续教育</w:t>
                  </w:r>
                </w:p>
              </w:tc>
              <w:tc>
                <w:tcPr>
                  <w:tcW w:w="1418" w:type="dxa"/>
                </w:tcPr>
                <w:p>
                  <w:pPr>
                    <w:outlineLvl w:val="1"/>
                    <w:rPr>
                      <w:rFonts w:ascii="仿宋" w:hAnsi="仿宋" w:eastAsia="仿宋" w:cs="仿宋"/>
                      <w:bCs/>
                      <w:sz w:val="28"/>
                      <w:szCs w:val="28"/>
                    </w:rPr>
                  </w:pPr>
                  <w:r>
                    <w:rPr>
                      <w:rFonts w:hint="eastAsia" w:ascii="仿宋" w:hAnsi="仿宋" w:eastAsia="仿宋" w:cs="仿宋"/>
                      <w:bCs/>
                      <w:sz w:val="28"/>
                      <w:szCs w:val="28"/>
                    </w:rPr>
                    <w:t>医疗主管行政部门</w:t>
                  </w:r>
                </w:p>
              </w:tc>
              <w:tc>
                <w:tcPr>
                  <w:tcW w:w="1701" w:type="dxa"/>
                </w:tcPr>
                <w:p>
                  <w:pPr>
                    <w:outlineLvl w:val="1"/>
                    <w:rPr>
                      <w:rFonts w:ascii="仿宋" w:hAnsi="仿宋" w:eastAsia="仿宋" w:cs="仿宋"/>
                      <w:bCs/>
                      <w:sz w:val="28"/>
                      <w:szCs w:val="28"/>
                    </w:rPr>
                  </w:pPr>
                  <w:r>
                    <w:rPr>
                      <w:rFonts w:hint="eastAsia" w:ascii="仿宋" w:hAnsi="仿宋" w:eastAsia="仿宋" w:cs="仿宋"/>
                      <w:bCs/>
                      <w:sz w:val="28"/>
                      <w:szCs w:val="28"/>
                    </w:rPr>
                    <w:t>医药类岗位技能训练</w:t>
                  </w:r>
                </w:p>
              </w:tc>
              <w:tc>
                <w:tcPr>
                  <w:tcW w:w="1134" w:type="dxa"/>
                </w:tcPr>
                <w:p>
                  <w:pPr>
                    <w:outlineLvl w:val="1"/>
                    <w:rPr>
                      <w:rFonts w:ascii="仿宋" w:hAnsi="仿宋" w:eastAsia="仿宋" w:cs="仿宋"/>
                      <w:bCs/>
                      <w:sz w:val="28"/>
                      <w:szCs w:val="28"/>
                    </w:rPr>
                  </w:pPr>
                  <w:r>
                    <w:rPr>
                      <w:rFonts w:hint="eastAsia" w:ascii="仿宋" w:hAnsi="仿宋" w:eastAsia="仿宋" w:cs="仿宋"/>
                      <w:bCs/>
                      <w:sz w:val="28"/>
                      <w:szCs w:val="28"/>
                    </w:rPr>
                    <w:t>3</w:t>
                  </w:r>
                </w:p>
              </w:tc>
              <w:tc>
                <w:tcPr>
                  <w:tcW w:w="1417" w:type="dxa"/>
                </w:tcPr>
                <w:p>
                  <w:pPr>
                    <w:outlineLvl w:val="1"/>
                    <w:rPr>
                      <w:rFonts w:ascii="仿宋" w:hAnsi="仿宋" w:eastAsia="仿宋" w:cs="仿宋"/>
                      <w:bCs/>
                      <w:sz w:val="28"/>
                      <w:szCs w:val="28"/>
                    </w:rPr>
                  </w:pPr>
                  <w:r>
                    <w:rPr>
                      <w:rFonts w:hint="eastAsia" w:ascii="仿宋" w:hAnsi="仿宋" w:eastAsia="仿宋" w:cs="仿宋"/>
                      <w:bCs/>
                      <w:sz w:val="28"/>
                      <w:szCs w:val="28"/>
                    </w:rPr>
                    <w:t>3</w:t>
                  </w:r>
                </w:p>
              </w:tc>
            </w:tr>
          </w:tbl>
          <w:p>
            <w:pPr>
              <w:outlineLvl w:val="1"/>
              <w:rPr>
                <w:rFonts w:ascii="宋体" w:hAnsi="宋体" w:cs="宋体"/>
                <w:bCs/>
                <w:sz w:val="28"/>
                <w:szCs w:val="28"/>
              </w:rPr>
            </w:pPr>
          </w:p>
          <w:p>
            <w:pPr>
              <w:ind w:firstLine="560" w:firstLineChars="200"/>
              <w:outlineLvl w:val="1"/>
              <w:rPr>
                <w:rFonts w:ascii="仿宋" w:hAnsi="仿宋" w:eastAsia="仿宋" w:cs="仿宋"/>
                <w:bCs/>
                <w:sz w:val="28"/>
                <w:szCs w:val="28"/>
              </w:rPr>
            </w:pPr>
            <w:r>
              <w:rPr>
                <w:rFonts w:hint="eastAsia" w:ascii="仿宋" w:hAnsi="仿宋" w:eastAsia="仿宋" w:cs="仿宋"/>
                <w:bCs/>
                <w:sz w:val="28"/>
                <w:szCs w:val="28"/>
              </w:rPr>
              <w:t>（注：对应学分为该学习成果对应的课程学分，可转换学分为该学习成果可以转换成多少相应的课程学分。可转换学分小于等于对应学分）</w:t>
            </w:r>
          </w:p>
          <w:p>
            <w:pPr>
              <w:ind w:firstLine="560" w:firstLineChars="200"/>
              <w:outlineLvl w:val="1"/>
              <w:rPr>
                <w:rFonts w:ascii="仿宋" w:hAnsi="仿宋" w:eastAsia="仿宋" w:cs="仿宋"/>
                <w:bCs/>
                <w:sz w:val="28"/>
                <w:szCs w:val="28"/>
              </w:rPr>
            </w:pPr>
            <w:r>
              <w:rPr>
                <w:rFonts w:hint="eastAsia" w:ascii="仿宋" w:hAnsi="仿宋" w:eastAsia="仿宋" w:cs="仿宋"/>
                <w:bCs/>
                <w:sz w:val="28"/>
                <w:szCs w:val="28"/>
              </w:rPr>
              <w:t>除以上转换标准外，通过学习成果认证中心（学分银行）审核成为学习成果转换标准的最新校企合作证书和培训项目，也可以按标准规定学分进行成果转换。</w:t>
            </w:r>
          </w:p>
          <w:p>
            <w:pPr>
              <w:ind w:firstLine="560" w:firstLineChars="200"/>
              <w:outlineLvl w:val="1"/>
              <w:rPr>
                <w:rFonts w:ascii="仿宋" w:hAnsi="仿宋" w:eastAsia="仿宋" w:cs="仿宋"/>
                <w:bCs/>
                <w:sz w:val="28"/>
                <w:szCs w:val="28"/>
              </w:rPr>
            </w:pPr>
            <w:r>
              <w:rPr>
                <w:rFonts w:hint="eastAsia" w:ascii="仿宋" w:hAnsi="仿宋" w:eastAsia="仿宋" w:cs="仿宋"/>
                <w:bCs/>
                <w:sz w:val="28"/>
                <w:szCs w:val="28"/>
              </w:rPr>
              <w:t>访问江西开放大学学分银行网站可获取关于学习成果认证与转换操作指南及最新学习成果认证与转换标准等更详细信息。</w:t>
            </w:r>
          </w:p>
          <w:p>
            <w:pPr>
              <w:ind w:firstLine="560" w:firstLineChars="200"/>
              <w:outlineLvl w:val="1"/>
              <w:rPr>
                <w:rFonts w:ascii="宋体" w:hAnsi="宋体" w:cs="宋体"/>
                <w:bCs/>
                <w:sz w:val="28"/>
                <w:szCs w:val="28"/>
              </w:rPr>
            </w:pPr>
          </w:p>
          <w:p>
            <w:pPr>
              <w:autoSpaceDE w:val="0"/>
              <w:ind w:firstLine="560" w:firstLineChars="200"/>
              <w:rPr>
                <w:rFonts w:ascii="宋体" w:hAnsi="宋体" w:cs="宋体"/>
                <w:sz w:val="28"/>
                <w:szCs w:val="28"/>
              </w:rPr>
            </w:pPr>
          </w:p>
          <w:p>
            <w:pPr>
              <w:ind w:firstLine="562" w:firstLineChars="200"/>
              <w:outlineLvl w:val="1"/>
              <w:rPr>
                <w:rFonts w:ascii="宋体" w:hAnsi="宋体" w:cs="宋体"/>
                <w:b/>
                <w:bCs/>
                <w:sz w:val="28"/>
                <w:szCs w:val="28"/>
              </w:rPr>
            </w:pPr>
            <w:r>
              <w:rPr>
                <w:rFonts w:hint="eastAsia" w:ascii="宋体" w:hAnsi="宋体" w:cs="宋体"/>
                <w:b/>
                <w:bCs/>
                <w:sz w:val="28"/>
                <w:szCs w:val="28"/>
              </w:rPr>
              <w:t>七、实践教学</w:t>
            </w:r>
          </w:p>
          <w:p>
            <w:pPr>
              <w:outlineLvl w:val="1"/>
              <w:rPr>
                <w:rFonts w:ascii="宋体" w:hAnsi="宋体" w:cs="宋体"/>
                <w:bCs/>
                <w:sz w:val="28"/>
                <w:szCs w:val="28"/>
              </w:rPr>
            </w:pPr>
            <w:r>
              <w:rPr>
                <w:rFonts w:hint="eastAsia" w:ascii="宋体" w:hAnsi="宋体" w:cs="宋体"/>
                <w:bCs/>
                <w:sz w:val="28"/>
                <w:szCs w:val="28"/>
              </w:rPr>
              <w:t xml:space="preserve">   </w:t>
            </w:r>
            <w:r>
              <w:rPr>
                <w:rFonts w:hint="eastAsia" w:ascii="仿宋" w:hAnsi="仿宋" w:eastAsia="仿宋" w:cs="仿宋"/>
                <w:bCs/>
                <w:sz w:val="28"/>
                <w:szCs w:val="28"/>
              </w:rPr>
              <w:t xml:space="preserve"> 本专业实践教学环节主要包括医药类岗位技能实训和毕业作业（药学专），实践方式主要是个人在岗实践或实训。</w:t>
            </w:r>
          </w:p>
          <w:tbl>
            <w:tblPr>
              <w:tblStyle w:val="1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992"/>
              <w:gridCol w:w="1843"/>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outlineLvl w:val="1"/>
                    <w:rPr>
                      <w:rFonts w:ascii="宋体" w:hAnsi="宋体" w:cs="宋体"/>
                      <w:bCs/>
                      <w:sz w:val="28"/>
                      <w:szCs w:val="28"/>
                    </w:rPr>
                  </w:pPr>
                  <w:r>
                    <w:rPr>
                      <w:rFonts w:hint="eastAsia" w:ascii="宋体" w:hAnsi="宋体" w:cs="宋体"/>
                      <w:bCs/>
                      <w:sz w:val="28"/>
                      <w:szCs w:val="28"/>
                    </w:rPr>
                    <w:t>实践项目名称</w:t>
                  </w:r>
                </w:p>
              </w:tc>
              <w:tc>
                <w:tcPr>
                  <w:tcW w:w="992" w:type="dxa"/>
                </w:tcPr>
                <w:p>
                  <w:pPr>
                    <w:outlineLvl w:val="1"/>
                    <w:rPr>
                      <w:rFonts w:ascii="宋体" w:hAnsi="宋体" w:cs="宋体"/>
                      <w:bCs/>
                      <w:sz w:val="28"/>
                      <w:szCs w:val="28"/>
                    </w:rPr>
                  </w:pPr>
                  <w:r>
                    <w:rPr>
                      <w:rFonts w:hint="eastAsia" w:ascii="宋体" w:hAnsi="宋体" w:cs="宋体"/>
                      <w:bCs/>
                      <w:sz w:val="28"/>
                      <w:szCs w:val="28"/>
                    </w:rPr>
                    <w:t>合作机构</w:t>
                  </w:r>
                </w:p>
              </w:tc>
              <w:tc>
                <w:tcPr>
                  <w:tcW w:w="1843" w:type="dxa"/>
                </w:tcPr>
                <w:p>
                  <w:pPr>
                    <w:outlineLvl w:val="1"/>
                    <w:rPr>
                      <w:rFonts w:ascii="宋体" w:hAnsi="宋体" w:cs="宋体"/>
                      <w:bCs/>
                      <w:sz w:val="28"/>
                      <w:szCs w:val="28"/>
                    </w:rPr>
                  </w:pPr>
                  <w:r>
                    <w:rPr>
                      <w:rFonts w:hint="eastAsia" w:ascii="宋体" w:hAnsi="宋体" w:cs="宋体"/>
                      <w:bCs/>
                      <w:sz w:val="28"/>
                      <w:szCs w:val="28"/>
                    </w:rPr>
                    <w:t>实践方式</w:t>
                  </w:r>
                </w:p>
              </w:tc>
              <w:tc>
                <w:tcPr>
                  <w:tcW w:w="2126" w:type="dxa"/>
                </w:tcPr>
                <w:p>
                  <w:pPr>
                    <w:outlineLvl w:val="1"/>
                    <w:rPr>
                      <w:rFonts w:ascii="宋体" w:hAnsi="宋体" w:cs="宋体"/>
                      <w:bCs/>
                      <w:sz w:val="28"/>
                      <w:szCs w:val="28"/>
                    </w:rPr>
                  </w:pPr>
                  <w:r>
                    <w:rPr>
                      <w:rFonts w:hint="eastAsia" w:ascii="宋体" w:hAnsi="宋体" w:cs="宋体"/>
                      <w:bCs/>
                      <w:sz w:val="28"/>
                      <w:szCs w:val="28"/>
                    </w:rPr>
                    <w:t>目标及内容</w:t>
                  </w:r>
                </w:p>
              </w:tc>
              <w:tc>
                <w:tcPr>
                  <w:tcW w:w="2126" w:type="dxa"/>
                </w:tcPr>
                <w:p>
                  <w:pPr>
                    <w:outlineLvl w:val="1"/>
                    <w:rPr>
                      <w:rFonts w:ascii="宋体" w:hAnsi="宋体" w:cs="宋体"/>
                      <w:bCs/>
                      <w:sz w:val="28"/>
                      <w:szCs w:val="28"/>
                    </w:rPr>
                  </w:pPr>
                  <w:r>
                    <w:rPr>
                      <w:rFonts w:hint="eastAsia" w:ascii="宋体" w:hAnsi="宋体" w:cs="宋体"/>
                      <w:bCs/>
                      <w:sz w:val="28"/>
                      <w:szCs w:val="28"/>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vMerge w:val="restart"/>
                </w:tcPr>
                <w:p>
                  <w:pPr>
                    <w:outlineLvl w:val="1"/>
                    <w:rPr>
                      <w:rFonts w:ascii="仿宋" w:hAnsi="仿宋" w:eastAsia="仿宋" w:cs="仿宋"/>
                      <w:bCs/>
                      <w:sz w:val="28"/>
                      <w:szCs w:val="28"/>
                    </w:rPr>
                  </w:pPr>
                  <w:r>
                    <w:rPr>
                      <w:rFonts w:hint="eastAsia" w:ascii="仿宋" w:hAnsi="仿宋" w:eastAsia="仿宋" w:cs="仿宋"/>
                      <w:sz w:val="28"/>
                      <w:szCs w:val="28"/>
                    </w:rPr>
                    <w:t>医药岗位技能训练</w:t>
                  </w:r>
                </w:p>
              </w:tc>
              <w:tc>
                <w:tcPr>
                  <w:tcW w:w="992" w:type="dxa"/>
                  <w:vMerge w:val="restart"/>
                </w:tcPr>
                <w:p>
                  <w:pPr>
                    <w:outlineLvl w:val="1"/>
                    <w:rPr>
                      <w:rFonts w:ascii="仿宋" w:hAnsi="仿宋" w:eastAsia="仿宋" w:cs="仿宋"/>
                      <w:bCs/>
                      <w:sz w:val="28"/>
                      <w:szCs w:val="28"/>
                    </w:rPr>
                  </w:pPr>
                </w:p>
              </w:tc>
              <w:tc>
                <w:tcPr>
                  <w:tcW w:w="1843" w:type="dxa"/>
                  <w:vMerge w:val="restart"/>
                </w:tcPr>
                <w:p>
                  <w:pPr>
                    <w:outlineLvl w:val="1"/>
                    <w:rPr>
                      <w:rFonts w:ascii="仿宋" w:hAnsi="仿宋" w:eastAsia="仿宋" w:cs="仿宋"/>
                      <w:bCs/>
                      <w:sz w:val="28"/>
                      <w:szCs w:val="28"/>
                    </w:rPr>
                  </w:pPr>
                  <w:r>
                    <w:rPr>
                      <w:rFonts w:hint="eastAsia" w:ascii="仿宋" w:hAnsi="仿宋" w:eastAsia="仿宋" w:cs="仿宋"/>
                      <w:bCs/>
                      <w:sz w:val="28"/>
                      <w:szCs w:val="28"/>
                    </w:rPr>
                    <w:t>职业技能培训</w:t>
                  </w:r>
                </w:p>
              </w:tc>
              <w:tc>
                <w:tcPr>
                  <w:tcW w:w="2126" w:type="dxa"/>
                  <w:vMerge w:val="restart"/>
                </w:tcPr>
                <w:p>
                  <w:pPr>
                    <w:outlineLvl w:val="1"/>
                    <w:rPr>
                      <w:rFonts w:ascii="仿宋" w:hAnsi="仿宋" w:eastAsia="仿宋" w:cs="仿宋"/>
                      <w:bCs/>
                      <w:sz w:val="28"/>
                      <w:szCs w:val="28"/>
                    </w:rPr>
                  </w:pPr>
                  <w:r>
                    <w:rPr>
                      <w:rFonts w:hint="eastAsia" w:ascii="仿宋" w:hAnsi="仿宋" w:eastAsia="仿宋" w:cs="仿宋"/>
                      <w:bCs/>
                      <w:sz w:val="28"/>
                      <w:szCs w:val="28"/>
                    </w:rPr>
                    <w:t>( 1 )掌握各类主要药品的通用名(中国药物通用名称或国际非专利药名)、商品名、药理作用、临床应用、用法用量及注意事项等。</w:t>
                  </w:r>
                </w:p>
                <w:p>
                  <w:pPr>
                    <w:outlineLvl w:val="1"/>
                    <w:rPr>
                      <w:rFonts w:ascii="仿宋" w:hAnsi="仿宋" w:eastAsia="仿宋" w:cs="仿宋"/>
                      <w:bCs/>
                      <w:sz w:val="28"/>
                      <w:szCs w:val="28"/>
                    </w:rPr>
                  </w:pPr>
                  <w:r>
                    <w:rPr>
                      <w:rFonts w:hint="eastAsia" w:ascii="仿宋" w:hAnsi="仿宋" w:eastAsia="仿宋" w:cs="仿宋"/>
                      <w:bCs/>
                      <w:sz w:val="28"/>
                      <w:szCs w:val="28"/>
                    </w:rPr>
                    <w:t>( 2 )熟悉麻醉药品、精神药品、医疗用毒性药品的采购、供应、管理和使用的有关规定，掌握本院使用的品种、处方用量及限量。</w:t>
                  </w:r>
                </w:p>
                <w:p>
                  <w:pPr>
                    <w:outlineLvl w:val="1"/>
                    <w:rPr>
                      <w:rFonts w:ascii="仿宋" w:hAnsi="仿宋" w:eastAsia="仿宋" w:cs="仿宋"/>
                      <w:bCs/>
                      <w:sz w:val="28"/>
                      <w:szCs w:val="28"/>
                    </w:rPr>
                  </w:pPr>
                  <w:r>
                    <w:rPr>
                      <w:rFonts w:hint="eastAsia" w:ascii="仿宋" w:hAnsi="仿宋" w:eastAsia="仿宋" w:cs="仿宋"/>
                      <w:bCs/>
                      <w:sz w:val="28"/>
                      <w:szCs w:val="28"/>
                    </w:rPr>
                    <w:t>( 3 )熟悉门诊、急诊、病房药房及药库等部门的工作内容、规章制度及工作程序。</w:t>
                  </w:r>
                </w:p>
                <w:p>
                  <w:pPr>
                    <w:outlineLvl w:val="1"/>
                    <w:rPr>
                      <w:rFonts w:ascii="仿宋" w:hAnsi="仿宋" w:eastAsia="仿宋" w:cs="仿宋"/>
                      <w:bCs/>
                      <w:sz w:val="28"/>
                      <w:szCs w:val="28"/>
                    </w:rPr>
                  </w:pPr>
                  <w:r>
                    <w:rPr>
                      <w:rFonts w:hint="eastAsia" w:ascii="仿宋" w:hAnsi="仿宋" w:eastAsia="仿宋" w:cs="仿宋"/>
                      <w:bCs/>
                      <w:sz w:val="28"/>
                      <w:szCs w:val="28"/>
                    </w:rPr>
                    <w:t>( 4 )熟悉药品采购、质量验收、记账核对、保管等程序和技术要求。掌握药品有效期知识及管理办法。了解药品分类管理(处方药与非处方药)的相关政策与法规。</w:t>
                  </w:r>
                </w:p>
                <w:p>
                  <w:pPr>
                    <w:outlineLvl w:val="1"/>
                    <w:rPr>
                      <w:rFonts w:ascii="仿宋" w:hAnsi="仿宋" w:eastAsia="仿宋" w:cs="仿宋"/>
                      <w:bCs/>
                      <w:sz w:val="28"/>
                      <w:szCs w:val="28"/>
                    </w:rPr>
                  </w:pPr>
                  <w:r>
                    <w:rPr>
                      <w:rFonts w:hint="eastAsia" w:ascii="仿宋" w:hAnsi="仿宋" w:eastAsia="仿宋" w:cs="仿宋"/>
                      <w:bCs/>
                      <w:sz w:val="28"/>
                      <w:szCs w:val="28"/>
                    </w:rPr>
                    <w:t>( 5 )熟悉医院药品的分级管理内容、质量管理制度、管理方法及计算机在药品管理上的应用。</w:t>
                  </w:r>
                </w:p>
                <w:p>
                  <w:pPr>
                    <w:outlineLvl w:val="1"/>
                    <w:rPr>
                      <w:rFonts w:ascii="仿宋" w:hAnsi="仿宋" w:eastAsia="仿宋" w:cs="仿宋"/>
                      <w:bCs/>
                      <w:sz w:val="28"/>
                      <w:szCs w:val="28"/>
                    </w:rPr>
                  </w:pPr>
                  <w:r>
                    <w:rPr>
                      <w:rFonts w:hint="eastAsia" w:ascii="仿宋" w:hAnsi="仿宋" w:eastAsia="仿宋" w:cs="仿宋"/>
                      <w:bCs/>
                      <w:sz w:val="28"/>
                      <w:szCs w:val="28"/>
                    </w:rPr>
                    <w:t>( 6 )熟悉常用中毒解救药物的使用。</w:t>
                  </w:r>
                </w:p>
                <w:p>
                  <w:pPr>
                    <w:outlineLvl w:val="1"/>
                    <w:rPr>
                      <w:rFonts w:ascii="仿宋" w:hAnsi="仿宋" w:eastAsia="仿宋" w:cs="仿宋"/>
                      <w:bCs/>
                      <w:sz w:val="28"/>
                      <w:szCs w:val="28"/>
                    </w:rPr>
                  </w:pPr>
                </w:p>
              </w:tc>
              <w:tc>
                <w:tcPr>
                  <w:tcW w:w="2126" w:type="dxa"/>
                  <w:vMerge w:val="restart"/>
                </w:tcPr>
                <w:p>
                  <w:pPr>
                    <w:outlineLvl w:val="1"/>
                    <w:rPr>
                      <w:rFonts w:ascii="仿宋" w:hAnsi="仿宋" w:eastAsia="仿宋" w:cs="仿宋"/>
                      <w:bCs/>
                      <w:sz w:val="28"/>
                      <w:szCs w:val="28"/>
                    </w:rPr>
                  </w:pPr>
                  <w:r>
                    <w:rPr>
                      <w:rFonts w:hint="eastAsia" w:ascii="仿宋" w:hAnsi="仿宋" w:eastAsia="仿宋" w:cs="仿宋"/>
                      <w:bCs/>
                      <w:sz w:val="28"/>
                      <w:szCs w:val="28"/>
                    </w:rPr>
                    <w:t>根据实训项目完成情况按百分制评分。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vMerge w:val="continue"/>
                </w:tcPr>
                <w:p>
                  <w:pPr>
                    <w:outlineLvl w:val="1"/>
                    <w:rPr>
                      <w:rFonts w:ascii="仿宋" w:hAnsi="仿宋" w:eastAsia="仿宋" w:cs="仿宋"/>
                      <w:bCs/>
                      <w:sz w:val="28"/>
                      <w:szCs w:val="28"/>
                    </w:rPr>
                  </w:pPr>
                </w:p>
              </w:tc>
              <w:tc>
                <w:tcPr>
                  <w:tcW w:w="992" w:type="dxa"/>
                  <w:vMerge w:val="continue"/>
                </w:tcPr>
                <w:p>
                  <w:pPr>
                    <w:outlineLvl w:val="1"/>
                    <w:rPr>
                      <w:rFonts w:ascii="仿宋" w:hAnsi="仿宋" w:eastAsia="仿宋" w:cs="仿宋"/>
                      <w:bCs/>
                      <w:sz w:val="28"/>
                      <w:szCs w:val="28"/>
                    </w:rPr>
                  </w:pPr>
                </w:p>
              </w:tc>
              <w:tc>
                <w:tcPr>
                  <w:tcW w:w="1843" w:type="dxa"/>
                  <w:vMerge w:val="continue"/>
                </w:tcPr>
                <w:p>
                  <w:pPr>
                    <w:outlineLvl w:val="1"/>
                    <w:rPr>
                      <w:rFonts w:ascii="仿宋" w:hAnsi="仿宋" w:eastAsia="仿宋" w:cs="仿宋"/>
                      <w:bCs/>
                      <w:sz w:val="28"/>
                      <w:szCs w:val="28"/>
                    </w:rPr>
                  </w:pPr>
                </w:p>
              </w:tc>
              <w:tc>
                <w:tcPr>
                  <w:tcW w:w="2126" w:type="dxa"/>
                  <w:vMerge w:val="continue"/>
                </w:tcPr>
                <w:p>
                  <w:pPr>
                    <w:outlineLvl w:val="1"/>
                    <w:rPr>
                      <w:rFonts w:ascii="仿宋" w:hAnsi="仿宋" w:eastAsia="仿宋" w:cs="仿宋"/>
                      <w:bCs/>
                      <w:sz w:val="28"/>
                      <w:szCs w:val="28"/>
                    </w:rPr>
                  </w:pPr>
                </w:p>
              </w:tc>
              <w:tc>
                <w:tcPr>
                  <w:tcW w:w="2126" w:type="dxa"/>
                  <w:vMerge w:val="continue"/>
                </w:tcPr>
                <w:p>
                  <w:pPr>
                    <w:outlineLvl w:val="1"/>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vMerge w:val="continue"/>
                </w:tcPr>
                <w:p>
                  <w:pPr>
                    <w:outlineLvl w:val="1"/>
                    <w:rPr>
                      <w:rFonts w:ascii="仿宋" w:hAnsi="仿宋" w:eastAsia="仿宋" w:cs="仿宋"/>
                      <w:bCs/>
                      <w:sz w:val="28"/>
                      <w:szCs w:val="28"/>
                    </w:rPr>
                  </w:pPr>
                </w:p>
              </w:tc>
              <w:tc>
                <w:tcPr>
                  <w:tcW w:w="992" w:type="dxa"/>
                  <w:vMerge w:val="continue"/>
                </w:tcPr>
                <w:p>
                  <w:pPr>
                    <w:outlineLvl w:val="1"/>
                    <w:rPr>
                      <w:rFonts w:ascii="仿宋" w:hAnsi="仿宋" w:eastAsia="仿宋" w:cs="仿宋"/>
                      <w:bCs/>
                      <w:sz w:val="28"/>
                      <w:szCs w:val="28"/>
                    </w:rPr>
                  </w:pPr>
                </w:p>
              </w:tc>
              <w:tc>
                <w:tcPr>
                  <w:tcW w:w="1843" w:type="dxa"/>
                  <w:vMerge w:val="continue"/>
                </w:tcPr>
                <w:p>
                  <w:pPr>
                    <w:outlineLvl w:val="1"/>
                    <w:rPr>
                      <w:rFonts w:ascii="仿宋" w:hAnsi="仿宋" w:eastAsia="仿宋" w:cs="仿宋"/>
                      <w:bCs/>
                      <w:sz w:val="28"/>
                      <w:szCs w:val="28"/>
                    </w:rPr>
                  </w:pPr>
                </w:p>
              </w:tc>
              <w:tc>
                <w:tcPr>
                  <w:tcW w:w="2126" w:type="dxa"/>
                  <w:vMerge w:val="continue"/>
                </w:tcPr>
                <w:p>
                  <w:pPr>
                    <w:outlineLvl w:val="1"/>
                    <w:rPr>
                      <w:rFonts w:ascii="仿宋" w:hAnsi="仿宋" w:eastAsia="仿宋" w:cs="仿宋"/>
                      <w:bCs/>
                      <w:sz w:val="28"/>
                      <w:szCs w:val="28"/>
                    </w:rPr>
                  </w:pPr>
                </w:p>
              </w:tc>
              <w:tc>
                <w:tcPr>
                  <w:tcW w:w="2126" w:type="dxa"/>
                  <w:vMerge w:val="continue"/>
                </w:tcPr>
                <w:p>
                  <w:pPr>
                    <w:outlineLvl w:val="1"/>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utlineLvl w:val="1"/>
                    <w:rPr>
                      <w:rFonts w:ascii="仿宋" w:hAnsi="仿宋" w:eastAsia="仿宋" w:cs="仿宋"/>
                      <w:bCs/>
                      <w:sz w:val="28"/>
                      <w:szCs w:val="28"/>
                    </w:rPr>
                  </w:pPr>
                  <w:r>
                    <w:rPr>
                      <w:rFonts w:hint="eastAsia" w:ascii="仿宋" w:hAnsi="仿宋" w:eastAsia="仿宋" w:cs="仿宋"/>
                      <w:bCs/>
                      <w:sz w:val="28"/>
                      <w:szCs w:val="28"/>
                    </w:rPr>
                    <w:t>毕业实习（药学专）</w:t>
                  </w:r>
                </w:p>
              </w:tc>
              <w:tc>
                <w:tcPr>
                  <w:tcW w:w="992" w:type="dxa"/>
                </w:tcPr>
                <w:p>
                  <w:pPr>
                    <w:outlineLvl w:val="1"/>
                    <w:rPr>
                      <w:rFonts w:ascii="仿宋" w:hAnsi="仿宋" w:eastAsia="仿宋" w:cs="仿宋"/>
                      <w:bCs/>
                      <w:sz w:val="28"/>
                      <w:szCs w:val="28"/>
                    </w:rPr>
                  </w:pPr>
                </w:p>
              </w:tc>
              <w:tc>
                <w:tcPr>
                  <w:tcW w:w="1843" w:type="dxa"/>
                </w:tcPr>
                <w:p>
                  <w:pPr>
                    <w:outlineLvl w:val="1"/>
                    <w:rPr>
                      <w:rFonts w:ascii="仿宋" w:hAnsi="仿宋" w:eastAsia="仿宋" w:cs="仿宋"/>
                      <w:bCs/>
                      <w:sz w:val="28"/>
                      <w:szCs w:val="28"/>
                    </w:rPr>
                  </w:pPr>
                </w:p>
              </w:tc>
              <w:tc>
                <w:tcPr>
                  <w:tcW w:w="2126" w:type="dxa"/>
                </w:tcPr>
                <w:p>
                  <w:pPr>
                    <w:rPr>
                      <w:rFonts w:ascii="仿宋" w:hAnsi="仿宋" w:eastAsia="仿宋" w:cs="仿宋"/>
                      <w:sz w:val="28"/>
                      <w:szCs w:val="28"/>
                    </w:rPr>
                  </w:pPr>
                  <w:r>
                    <w:rPr>
                      <w:rFonts w:hint="eastAsia" w:ascii="仿宋" w:hAnsi="仿宋" w:eastAsia="仿宋" w:cs="仿宋"/>
                      <w:sz w:val="28"/>
                      <w:szCs w:val="28"/>
                    </w:rPr>
                    <w:t>原则上选择县级以上医院药剂科和具有一定指导能力的药品批发及零售企业（社会药房）进行毕业实习。</w:t>
                  </w:r>
                </w:p>
                <w:p>
                  <w:pPr>
                    <w:outlineLvl w:val="1"/>
                    <w:rPr>
                      <w:rFonts w:ascii="仿宋" w:hAnsi="仿宋" w:eastAsia="仿宋" w:cs="仿宋"/>
                      <w:bCs/>
                      <w:sz w:val="28"/>
                      <w:szCs w:val="28"/>
                    </w:rPr>
                  </w:pPr>
                </w:p>
              </w:tc>
              <w:tc>
                <w:tcPr>
                  <w:tcW w:w="2126" w:type="dxa"/>
                </w:tcPr>
                <w:p>
                  <w:pPr>
                    <w:outlineLvl w:val="1"/>
                    <w:rPr>
                      <w:rFonts w:ascii="仿宋" w:hAnsi="仿宋" w:eastAsia="仿宋" w:cs="仿宋"/>
                      <w:bCs/>
                      <w:sz w:val="28"/>
                      <w:szCs w:val="28"/>
                    </w:rPr>
                  </w:pPr>
                  <w:r>
                    <w:rPr>
                      <w:rFonts w:hint="eastAsia" w:ascii="仿宋" w:hAnsi="仿宋" w:eastAsia="仿宋" w:cs="仿宋"/>
                      <w:bCs/>
                      <w:sz w:val="28"/>
                      <w:szCs w:val="28"/>
                    </w:rPr>
                    <w:t>指导教师根据作业完成情况按百分制评分</w:t>
                  </w:r>
                </w:p>
              </w:tc>
            </w:tr>
          </w:tbl>
          <w:p>
            <w:pPr>
              <w:ind w:firstLine="544" w:firstLineChars="200"/>
              <w:rPr>
                <w:rFonts w:ascii="仿宋" w:hAnsi="仿宋" w:eastAsia="仿宋" w:cs="仿宋"/>
                <w:color w:val="000000" w:themeColor="text1"/>
                <w:spacing w:val="-4"/>
                <w:sz w:val="28"/>
                <w:szCs w:val="28"/>
                <w14:textFill>
                  <w14:solidFill>
                    <w14:schemeClr w14:val="tx1"/>
                  </w14:solidFill>
                </w14:textFill>
              </w:rPr>
            </w:pPr>
          </w:p>
          <w:p>
            <w:pPr>
              <w:ind w:firstLine="560" w:firstLineChars="200"/>
              <w:rPr>
                <w:rFonts w:ascii="仿宋" w:hAnsi="仿宋" w:eastAsia="仿宋" w:cs="仿宋"/>
                <w:color w:val="000000" w:themeColor="text1"/>
                <w:sz w:val="28"/>
                <w:szCs w:val="28"/>
                <w14:textFill>
                  <w14:solidFill>
                    <w14:schemeClr w14:val="tx1"/>
                  </w14:solidFill>
                </w14:textFill>
              </w:rPr>
            </w:pPr>
          </w:p>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八、毕业规则</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本专业各模块最低毕业学分依次是：</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思想政治理论课：1</w:t>
            </w: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 xml:space="preserve"> 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公共基础课：</w:t>
            </w:r>
            <w:r>
              <w:rPr>
                <w:rFonts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 xml:space="preserve"> 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专业基础课： </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专业课：</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通识课：</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xml:space="preserve"> 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企业特色课：</w:t>
            </w:r>
            <w:r>
              <w:rPr>
                <w:rFonts w:hint="eastAsia" w:ascii="仿宋" w:hAnsi="仿宋" w:eastAsia="仿宋" w:cs="仿宋"/>
                <w:color w:val="000000" w:themeColor="text1"/>
                <w:sz w:val="28"/>
                <w:szCs w:val="28"/>
                <w14:textFill>
                  <w14:solidFill>
                    <w14:schemeClr w14:val="tx1"/>
                  </w14:solidFill>
                </w14:textFill>
              </w:rPr>
              <w:t>6学分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技能实践课：</w:t>
            </w:r>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本专业毕业最低总学分为</w:t>
            </w:r>
            <w:r>
              <w:rPr>
                <w:rFonts w:hint="eastAsia" w:ascii="仿宋" w:hAnsi="仿宋" w:eastAsia="仿宋" w:cs="仿宋"/>
                <w:color w:val="000000" w:themeColor="text1"/>
                <w:sz w:val="28"/>
                <w:szCs w:val="28"/>
                <w:lang w:val="en-US" w:eastAsia="zh-CN"/>
                <w14:textFill>
                  <w14:solidFill>
                    <w14:schemeClr w14:val="tx1"/>
                  </w14:solidFill>
                </w14:textFill>
              </w:rPr>
              <w:t>90</w:t>
            </w:r>
            <w:r>
              <w:rPr>
                <w:rFonts w:hint="eastAsia" w:ascii="仿宋" w:hAnsi="仿宋" w:eastAsia="仿宋" w:cs="仿宋"/>
                <w:color w:val="000000" w:themeColor="text1"/>
                <w:sz w:val="28"/>
                <w:szCs w:val="28"/>
                <w14:textFill>
                  <w14:solidFill>
                    <w14:schemeClr w14:val="tx1"/>
                  </w14:solidFill>
                </w14:textFill>
              </w:rPr>
              <w:t>学分，本专业各模块最低毕业学分之和为</w:t>
            </w:r>
            <w:r>
              <w:rPr>
                <w:rFonts w:hint="eastAsia" w:ascii="仿宋" w:hAnsi="仿宋" w:eastAsia="仿宋" w:cs="仿宋"/>
                <w:color w:val="000000" w:themeColor="text1"/>
                <w:sz w:val="28"/>
                <w:szCs w:val="28"/>
                <w:lang w:val="en-US" w:eastAsia="zh-CN"/>
                <w14:textFill>
                  <w14:solidFill>
                    <w14:schemeClr w14:val="tx1"/>
                  </w14:solidFill>
                </w14:textFill>
              </w:rPr>
              <w:t>71</w:t>
            </w:r>
            <w:r>
              <w:rPr>
                <w:rFonts w:hint="eastAsia" w:ascii="仿宋" w:hAnsi="仿宋" w:eastAsia="仿宋" w:cs="仿宋"/>
                <w:color w:val="000000" w:themeColor="text1"/>
                <w:sz w:val="28"/>
                <w:szCs w:val="28"/>
                <w14:textFill>
                  <w14:solidFill>
                    <w14:schemeClr w14:val="tx1"/>
                  </w14:solidFill>
                </w14:textFill>
              </w:rPr>
              <w:t>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本专业实行学分管理，课程期末考试成绩占总成绩比例为40%-80%，具体比例由课程责任教师按需制定，学生注册取得学籍后学分</w:t>
            </w: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eastAsia" w:ascii="仿宋" w:hAnsi="仿宋" w:eastAsia="仿宋" w:cs="仿宋"/>
                <w:color w:val="000000" w:themeColor="text1"/>
                <w:sz w:val="28"/>
                <w:szCs w:val="28"/>
                <w14:textFill>
                  <w14:solidFill>
                    <w14:schemeClr w14:val="tx1"/>
                  </w14:solidFill>
                </w14:textFill>
              </w:rPr>
              <w:t>年有效。学生修满学分并经思想道德品德鉴定为合格，准予毕业并由江西开放大学颁发成人高等教育本科毕业证书，国家承认其学历。</w:t>
            </w:r>
          </w:p>
          <w:p>
            <w:pPr>
              <w:pStyle w:val="3"/>
              <w:spacing w:before="156" w:after="156"/>
              <w:ind w:firstLine="562"/>
              <w:rPr>
                <w:rFonts w:ascii="宋体" w:hAnsi="宋体" w:eastAsia="宋体" w:cs="宋体"/>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九、教学计划进程表（附后）</w:t>
            </w:r>
          </w:p>
          <w:p>
            <w:pPr>
              <w:rPr>
                <w:rFonts w:ascii="宋体" w:hAnsi="宋体" w:cs="宋体"/>
                <w:b/>
                <w:bCs/>
                <w:color w:val="000000" w:themeColor="text1"/>
                <w:sz w:val="28"/>
                <w:szCs w:val="28"/>
                <w14:textFill>
                  <w14:solidFill>
                    <w14:schemeClr w14:val="tx1"/>
                  </w14:solidFill>
                </w14:textFill>
              </w:rPr>
            </w:pPr>
          </w:p>
          <w:p>
            <w:pP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p>
          <w:p>
            <w:pPr>
              <w:jc w:val="center"/>
              <w:rPr>
                <w:rFonts w:ascii="黑体" w:hAnsi="黑体" w:eastAsia="黑体" w:cs="Arial"/>
                <w:b/>
                <w:kern w:val="0"/>
                <w:sz w:val="28"/>
                <w:szCs w:val="28"/>
              </w:rPr>
            </w:pPr>
            <w:r>
              <w:rPr>
                <w:rFonts w:hint="eastAsia" w:ascii="黑体" w:hAnsi="黑体" w:eastAsia="黑体"/>
                <w:b/>
                <w:sz w:val="28"/>
                <w:szCs w:val="28"/>
              </w:rPr>
              <w:t>医学</w:t>
            </w:r>
            <w:r>
              <w:rPr>
                <w:rFonts w:hint="eastAsia" w:ascii="黑体" w:hAnsi="黑体" w:eastAsia="黑体" w:cs="Arial"/>
                <w:b/>
                <w:kern w:val="0"/>
                <w:sz w:val="28"/>
                <w:szCs w:val="28"/>
              </w:rPr>
              <w:t>学科</w:t>
            </w:r>
            <w:r>
              <w:rPr>
                <w:rFonts w:hint="eastAsia" w:ascii="黑体" w:hAnsi="黑体" w:eastAsia="黑体"/>
                <w:b/>
                <w:sz w:val="28"/>
                <w:szCs w:val="28"/>
              </w:rPr>
              <w:t>药学</w:t>
            </w:r>
            <w:r>
              <w:rPr>
                <w:rFonts w:hint="eastAsia" w:ascii="黑体" w:hAnsi="黑体" w:eastAsia="黑体" w:cs="Arial"/>
                <w:b/>
                <w:kern w:val="0"/>
                <w:sz w:val="28"/>
                <w:szCs w:val="28"/>
              </w:rPr>
              <w:t>类</w:t>
            </w:r>
          </w:p>
          <w:p>
            <w:pPr>
              <w:autoSpaceDE w:val="0"/>
              <w:autoSpaceDN w:val="0"/>
              <w:adjustRightInd w:val="0"/>
              <w:jc w:val="center"/>
              <w:rPr>
                <w:rFonts w:hint="eastAsia" w:ascii="黑体" w:hAnsi="黑体" w:eastAsia="黑体" w:cs="Arial"/>
                <w:b/>
                <w:kern w:val="0"/>
                <w:sz w:val="28"/>
                <w:szCs w:val="28"/>
              </w:rPr>
            </w:pPr>
            <w:r>
              <w:rPr>
                <w:rFonts w:hint="eastAsia" w:ascii="黑体" w:hAnsi="黑体" w:eastAsia="黑体"/>
                <w:b/>
                <w:bCs/>
                <w:sz w:val="28"/>
                <w:szCs w:val="28"/>
              </w:rPr>
              <w:t>药学专业</w:t>
            </w:r>
            <w:r>
              <w:rPr>
                <w:rFonts w:hint="eastAsia" w:ascii="黑体" w:hAnsi="黑体" w:eastAsia="黑体"/>
                <w:b/>
                <w:sz w:val="28"/>
                <w:szCs w:val="28"/>
              </w:rPr>
              <w:t>（</w:t>
            </w:r>
            <w:r>
              <w:rPr>
                <w:rFonts w:hint="eastAsia" w:ascii="黑体" w:hAnsi="黑体" w:eastAsia="黑体" w:cs="Arial"/>
                <w:b/>
                <w:kern w:val="0"/>
                <w:sz w:val="28"/>
                <w:szCs w:val="28"/>
              </w:rPr>
              <w:t>本科）</w:t>
            </w:r>
            <w:r>
              <w:rPr>
                <w:rFonts w:hint="eastAsia" w:ascii="黑体" w:hAnsi="黑体" w:eastAsia="黑体"/>
                <w:b/>
                <w:bCs/>
                <w:sz w:val="28"/>
                <w:szCs w:val="28"/>
              </w:rPr>
              <w:t>教学计划</w:t>
            </w:r>
            <w:r>
              <w:rPr>
                <w:rFonts w:hint="eastAsia" w:ascii="黑体" w:hAnsi="黑体" w:eastAsia="黑体" w:cs="Arial"/>
                <w:b/>
                <w:kern w:val="0"/>
                <w:sz w:val="28"/>
                <w:szCs w:val="28"/>
              </w:rPr>
              <w:t>进程表</w:t>
            </w:r>
          </w:p>
          <w:tbl>
            <w:tblPr>
              <w:tblStyle w:val="12"/>
              <w:tblpPr w:leftFromText="180" w:rightFromText="180" w:vertAnchor="text" w:horzAnchor="page" w:tblpX="1585" w:tblpY="12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79"/>
              <w:gridCol w:w="838"/>
              <w:gridCol w:w="210"/>
              <w:gridCol w:w="510"/>
              <w:gridCol w:w="2135"/>
              <w:gridCol w:w="210"/>
              <w:gridCol w:w="330"/>
              <w:gridCol w:w="330"/>
              <w:gridCol w:w="250"/>
              <w:gridCol w:w="210"/>
              <w:gridCol w:w="250"/>
              <w:gridCol w:w="250"/>
              <w:gridCol w:w="250"/>
              <w:gridCol w:w="250"/>
              <w:gridCol w:w="210"/>
              <w:gridCol w:w="220"/>
              <w:gridCol w:w="305"/>
              <w:gridCol w:w="305"/>
              <w:gridCol w:w="485"/>
              <w:gridCol w:w="4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类别</w:t>
                  </w:r>
                </w:p>
              </w:tc>
              <w:tc>
                <w:tcPr>
                  <w:tcW w:w="0" w:type="auto"/>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模块最低毕业学分</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序</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号</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代码</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 程 名 称</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分</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总</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时</w:t>
                  </w:r>
                </w:p>
              </w:tc>
              <w:tc>
                <w:tcPr>
                  <w:tcW w:w="0" w:type="auto"/>
                  <w:gridSpan w:val="8"/>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各学期学时分配</w:t>
                  </w:r>
                </w:p>
              </w:tc>
              <w:tc>
                <w:tcPr>
                  <w:tcW w:w="0" w:type="auto"/>
                  <w:gridSpan w:val="3"/>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考核</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方式</w:t>
                  </w:r>
                </w:p>
              </w:tc>
              <w:tc>
                <w:tcPr>
                  <w:tcW w:w="0" w:type="auto"/>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课程性质</w:t>
                  </w:r>
                </w:p>
              </w:tc>
              <w:tc>
                <w:tcPr>
                  <w:tcW w:w="0" w:type="auto"/>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考试单位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线</w:t>
                  </w:r>
                </w:p>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上</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教</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线</w:t>
                  </w:r>
                </w:p>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教</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实</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验</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实</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训</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一</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二</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三</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四</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五</w:t>
                  </w:r>
                </w:p>
              </w:tc>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过</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性</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核</w:t>
                  </w:r>
                </w:p>
              </w:tc>
              <w:tc>
                <w:tcPr>
                  <w:tcW w:w="0" w:type="auto"/>
                  <w:gridSpan w:val="2"/>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终结性</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考核</w:t>
                  </w: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闭卷</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开卷</w:t>
                  </w: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1" w:hRule="exact"/>
              </w:trPr>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bookmarkStart w:id="3" w:name="_Hlk263065686"/>
                  <w:r>
                    <w:rPr>
                      <w:rFonts w:hint="eastAsia" w:ascii="宋体" w:hAnsi="宋体"/>
                      <w:kern w:val="0"/>
                      <w:sz w:val="20"/>
                      <w:szCs w:val="20"/>
                      <w:lang w:val="en-US" w:eastAsia="zh-CN"/>
                    </w:rPr>
                    <w:t>思想政治课</w:t>
                  </w:r>
                </w:p>
              </w:tc>
              <w:tc>
                <w:tcPr>
                  <w:tcW w:w="0" w:type="auto"/>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17</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1</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50008</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习近平新时代中国特色社会主义思想概论</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bookmarkEnd w:id="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中国近现代史纲要</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18</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50003</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思想道德与法治</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马克思主义基本原理</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1"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50005</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毛泽东思想和中国特色社会主义理论体系概论</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50006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形势与政策</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8</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8</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8</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8</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7</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Times New Roman" w:hAnsi="Times New Roman"/>
                      <w:color w:val="000000" w:themeColor="text1"/>
                      <w:kern w:val="0"/>
                      <w:sz w:val="20"/>
                      <w:szCs w:val="20"/>
                      <w:lang w:val="en-US" w:eastAsia="zh-CN"/>
                      <w14:textFill>
                        <w14:solidFill>
                          <w14:schemeClr w14:val="tx1"/>
                        </w14:solidFill>
                      </w14:textFill>
                    </w:rPr>
                    <w:t>50007</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color w:val="000000" w:themeColor="text1"/>
                      <w:kern w:val="0"/>
                      <w:sz w:val="20"/>
                      <w:szCs w:val="20"/>
                      <w:lang w:val="en-US" w:eastAsia="zh-CN"/>
                      <w14:textFill>
                        <w14:solidFill>
                          <w14:schemeClr w14:val="tx1"/>
                        </w14:solidFill>
                      </w14:textFill>
                    </w:rPr>
                    <w:t>中国传统文化导论</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lang w:val="en-US" w:eastAsia="zh-CN"/>
                      <w14:textFill>
                        <w14:solidFill>
                          <w14:schemeClr w14:val="tx1"/>
                        </w14:solidFill>
                      </w14:textFill>
                    </w:rPr>
                    <w:t>2</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lang w:val="en-US" w:eastAsia="zh-CN"/>
                      <w14:textFill>
                        <w14:solidFill>
                          <w14:schemeClr w14:val="tx1"/>
                        </w14:solidFill>
                      </w14:textFill>
                    </w:rPr>
                    <w:t>36</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kern w:val="0"/>
                      <w:sz w:val="20"/>
                      <w:szCs w:val="20"/>
                      <w:lang w:val="en-US" w:eastAsia="zh-CN"/>
                      <w14:textFill>
                        <w14:solidFill>
                          <w14:schemeClr w14:val="tx1"/>
                        </w14:solidFill>
                      </w14:textFill>
                    </w:rPr>
                    <w:t>36</w:t>
                  </w:r>
                </w:p>
              </w:tc>
              <w:tc>
                <w:tcPr>
                  <w:tcW w:w="0" w:type="auto"/>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选修</w:t>
                  </w:r>
                </w:p>
              </w:tc>
              <w:tc>
                <w:tcPr>
                  <w:tcW w:w="0" w:type="auto"/>
                  <w:tcBorders>
                    <w:tl2br w:val="nil"/>
                    <w:tr2bl w:val="nil"/>
                  </w:tcBorders>
                  <w:vAlign w:val="center"/>
                </w:tcPr>
                <w:p>
                  <w:pPr>
                    <w:autoSpaceDE w:val="0"/>
                    <w:autoSpaceDN w:val="0"/>
                    <w:adjustRightInd w:val="0"/>
                    <w:jc w:val="center"/>
                    <w:rPr>
                      <w:rFonts w:hint="eastAsia" w:ascii="宋体" w:hAnsi="宋体" w:eastAsia="Arial" w:cs="Arial"/>
                      <w:snapToGrid w:val="0"/>
                      <w:color w:val="000000"/>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r>
                    <w:rPr>
                      <w:rFonts w:hint="eastAsia" w:ascii="宋体" w:hAnsi="宋体"/>
                      <w:kern w:val="0"/>
                      <w:sz w:val="20"/>
                      <w:szCs w:val="20"/>
                      <w:lang w:val="en-US" w:eastAsia="zh-CN"/>
                    </w:rPr>
                    <w:t>公共基础课</w:t>
                  </w:r>
                </w:p>
              </w:tc>
              <w:tc>
                <w:tcPr>
                  <w:tcW w:w="0" w:type="auto"/>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8</w:t>
                  </w:r>
                </w:p>
              </w:tc>
              <w:tc>
                <w:tcPr>
                  <w:tcW w:w="0" w:type="auto"/>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8</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60001</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入学教育</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1</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18</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11</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7</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18</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9</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60002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计算机应用基础（本）</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72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44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28</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72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10</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60006</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大学英语（3）</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3</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0" w:type="auto"/>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kern w:val="0"/>
                      <w:sz w:val="20"/>
                      <w:szCs w:val="20"/>
                    </w:rPr>
                    <w:t>1</w:t>
                  </w:r>
                  <w:r>
                    <w:rPr>
                      <w:rFonts w:hint="eastAsia" w:ascii="宋体" w:hAnsi="宋体" w:eastAsia="宋体"/>
                      <w:kern w:val="0"/>
                      <w:sz w:val="20"/>
                      <w:szCs w:val="20"/>
                      <w:lang w:val="en-US" w:eastAsia="zh-CN"/>
                    </w:rPr>
                    <w:t>1</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60007</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大学英语（4）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3</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54</w:t>
                  </w:r>
                </w:p>
              </w:tc>
              <w:tc>
                <w:tcPr>
                  <w:tcW w:w="0" w:type="auto"/>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kern w:val="0"/>
                      <w:sz w:val="20"/>
                      <w:szCs w:val="20"/>
                    </w:rPr>
                    <w:t>1</w:t>
                  </w:r>
                  <w:r>
                    <w:rPr>
                      <w:rFonts w:hint="eastAsia" w:ascii="宋体" w:hAnsi="宋体" w:eastAsia="宋体"/>
                      <w:kern w:val="0"/>
                      <w:sz w:val="20"/>
                      <w:szCs w:val="20"/>
                      <w:lang w:val="en-US" w:eastAsia="zh-CN"/>
                    </w:rPr>
                    <w:t>2</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60008</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大学语文</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3</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54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color w:val="000000" w:themeColor="text1"/>
                      <w:sz w:val="20"/>
                      <w:szCs w:val="20"/>
                      <w:lang w:val="en-US" w:eastAsia="zh-CN"/>
                      <w14:textFill>
                        <w14:solidFill>
                          <w14:schemeClr w14:val="tx1"/>
                        </w14:solidFill>
                      </w14:textFill>
                    </w:rPr>
                    <w:t>54</w:t>
                  </w:r>
                </w:p>
              </w:tc>
              <w:tc>
                <w:tcPr>
                  <w:tcW w:w="0" w:type="auto"/>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选修</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color w:val="000000" w:themeColor="text1"/>
                      <w:kern w:val="0"/>
                      <w:sz w:val="20"/>
                      <w:szCs w:val="20"/>
                      <w14:textFill>
                        <w14:solidFill>
                          <w14:schemeClr w14:val="tx1"/>
                        </w14:solidFill>
                      </w14:textFill>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lang w:val="en-US" w:eastAsia="zh-CN"/>
                    </w:rPr>
                    <w:t>专业基础课</w:t>
                  </w:r>
                </w:p>
              </w:tc>
              <w:tc>
                <w:tcPr>
                  <w:tcW w:w="0" w:type="auto"/>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9</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13</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20303</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sz w:val="20"/>
                      <w:szCs w:val="20"/>
                    </w:rPr>
                    <w:t>病理生理学</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18</w:t>
                  </w:r>
                </w:p>
              </w:tc>
              <w:tc>
                <w:tcPr>
                  <w:tcW w:w="0" w:type="auto"/>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20304</w:t>
                  </w:r>
                </w:p>
              </w:tc>
              <w:tc>
                <w:tcPr>
                  <w:tcW w:w="0" w:type="auto"/>
                  <w:tcBorders>
                    <w:tl2br w:val="nil"/>
                    <w:tr2bl w:val="nil"/>
                  </w:tcBorders>
                  <w:vAlign w:val="center"/>
                </w:tcPr>
                <w:p>
                  <w:pPr>
                    <w:widowControl/>
                    <w:jc w:val="left"/>
                    <w:textAlignment w:val="center"/>
                    <w:rPr>
                      <w:rFonts w:hint="eastAsia" w:cs="Arial" w:asciiTheme="minorEastAsia" w:hAnsiTheme="minorEastAsia"/>
                      <w:kern w:val="0"/>
                      <w:sz w:val="18"/>
                      <w:szCs w:val="18"/>
                      <w:highlight w:val="none"/>
                      <w:lang w:val="en-US" w:eastAsia="zh-CN"/>
                    </w:rPr>
                  </w:pPr>
                  <w:r>
                    <w:rPr>
                      <w:rFonts w:hint="eastAsia" w:ascii="宋体" w:hAnsi="宋体"/>
                      <w:color w:val="000000"/>
                      <w:sz w:val="20"/>
                      <w:szCs w:val="20"/>
                    </w:rPr>
                    <w:t>药理学（本）</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highlight w:val="none"/>
                      <w:lang w:val="en-US" w:eastAsia="zh-CN"/>
                    </w:rPr>
                  </w:pPr>
                  <w:r>
                    <w:rPr>
                      <w:rFonts w:hint="eastAsia" w:ascii="Times New Roman" w:hAnsi="Times New Roman"/>
                      <w:color w:val="000000"/>
                      <w:sz w:val="20"/>
                      <w:szCs w:val="20"/>
                    </w:rPr>
                    <w:t>3</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highlight w:val="none"/>
                      <w:lang w:val="en-US" w:eastAsia="zh-CN"/>
                    </w:rPr>
                  </w:pPr>
                  <w:r>
                    <w:rPr>
                      <w:rFonts w:hint="eastAsia" w:ascii="Times New Roman" w:hAnsi="Times New Roman"/>
                      <w:color w:val="000000"/>
                      <w:sz w:val="20"/>
                      <w:szCs w:val="20"/>
                    </w:rPr>
                    <w:t>54</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highlight w:val="none"/>
                      <w:lang w:val="en-US" w:eastAsia="zh-CN"/>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18</w:t>
                  </w: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highlight w:val="none"/>
                      <w:lang w:val="en-US" w:eastAsia="zh-CN"/>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ascii="Times New Roman" w:hAnsi="宋体"/>
                      <w:color w:val="000000"/>
                      <w:kern w:val="0"/>
                      <w:sz w:val="20"/>
                      <w:szCs w:val="20"/>
                      <w:highlight w:val="none"/>
                    </w:rPr>
                  </w:pPr>
                  <w:r>
                    <w:rPr>
                      <w:rFonts w:hint="eastAsia" w:ascii="宋体" w:hAnsi="宋体"/>
                      <w:color w:val="000000"/>
                      <w:kern w:val="0"/>
                      <w:sz w:val="20"/>
                      <w:szCs w:val="20"/>
                    </w:rPr>
                    <w:t>必修</w:t>
                  </w:r>
                </w:p>
              </w:tc>
              <w:tc>
                <w:tcPr>
                  <w:tcW w:w="0" w:type="auto"/>
                  <w:tcBorders>
                    <w:tl2br w:val="nil"/>
                    <w:tr2bl w:val="nil"/>
                  </w:tcBorders>
                  <w:vAlign w:val="center"/>
                </w:tcPr>
                <w:p>
                  <w:pPr>
                    <w:widowControl/>
                    <w:jc w:val="center"/>
                    <w:textAlignment w:val="center"/>
                    <w:rPr>
                      <w:rFonts w:hint="eastAsia" w:ascii="Times New Roman" w:hAnsi="宋体"/>
                      <w:color w:val="000000"/>
                      <w:kern w:val="0"/>
                      <w:sz w:val="20"/>
                      <w:szCs w:val="20"/>
                      <w:lang w:val="en-US" w:eastAsia="zh-CN"/>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15</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20310</w:t>
                  </w:r>
                </w:p>
              </w:tc>
              <w:tc>
                <w:tcPr>
                  <w:tcW w:w="0" w:type="auto"/>
                  <w:tcBorders>
                    <w:tl2br w:val="nil"/>
                    <w:tr2bl w:val="nil"/>
                  </w:tcBorders>
                  <w:vAlign w:val="center"/>
                </w:tcPr>
                <w:p>
                  <w:pPr>
                    <w:widowControl/>
                    <w:jc w:val="left"/>
                    <w:textAlignment w:val="center"/>
                    <w:rPr>
                      <w:rFonts w:hint="eastAsia" w:cs="Arial" w:asciiTheme="minorEastAsia" w:hAnsiTheme="minorEastAsia"/>
                      <w:kern w:val="0"/>
                      <w:sz w:val="18"/>
                      <w:szCs w:val="18"/>
                      <w:highlight w:val="none"/>
                      <w:lang w:val="en-US" w:eastAsia="zh-CN"/>
                    </w:rPr>
                  </w:pPr>
                  <w:r>
                    <w:rPr>
                      <w:rFonts w:hint="eastAsia" w:ascii="宋体" w:hAnsi="宋体"/>
                      <w:color w:val="000000"/>
                      <w:sz w:val="20"/>
                      <w:szCs w:val="20"/>
                    </w:rPr>
                    <w:t>医学统计学</w:t>
                  </w:r>
                  <w:r>
                    <w:rPr>
                      <w:rFonts w:hint="eastAsia" w:ascii="宋体" w:hAnsi="宋体"/>
                      <w:color w:val="000000"/>
                      <w:sz w:val="20"/>
                      <w:szCs w:val="20"/>
                      <w:lang w:eastAsia="zh-CN"/>
                    </w:rPr>
                    <w:t>（</w:t>
                  </w:r>
                  <w:r>
                    <w:rPr>
                      <w:rFonts w:hint="eastAsia" w:ascii="宋体" w:hAnsi="宋体"/>
                      <w:color w:val="000000"/>
                      <w:sz w:val="20"/>
                      <w:szCs w:val="20"/>
                      <w:lang w:val="en-US" w:eastAsia="zh-CN"/>
                    </w:rPr>
                    <w:t>本</w:t>
                  </w:r>
                  <w:r>
                    <w:rPr>
                      <w:rFonts w:hint="eastAsia" w:ascii="宋体" w:hAnsi="宋体"/>
                      <w:color w:val="000000"/>
                      <w:sz w:val="20"/>
                      <w:szCs w:val="20"/>
                      <w:lang w:eastAsia="zh-CN"/>
                    </w:rPr>
                    <w:t>）</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highlight w:val="none"/>
                      <w:lang w:val="en-US" w:eastAsia="zh-CN"/>
                    </w:rPr>
                  </w:pPr>
                  <w:r>
                    <w:rPr>
                      <w:rFonts w:hint="eastAsia" w:ascii="Times New Roman" w:hAnsi="Times New Roman"/>
                      <w:color w:val="000000"/>
                      <w:sz w:val="20"/>
                      <w:szCs w:val="20"/>
                    </w:rPr>
                    <w:t>3</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highlight w:val="none"/>
                      <w:lang w:val="en-US" w:eastAsia="zh-CN"/>
                    </w:rPr>
                  </w:pPr>
                  <w:r>
                    <w:rPr>
                      <w:rFonts w:hint="eastAsia" w:ascii="Times New Roman" w:hAnsi="Times New Roman"/>
                      <w:color w:val="000000"/>
                      <w:sz w:val="20"/>
                      <w:szCs w:val="20"/>
                    </w:rPr>
                    <w:t>54</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highlight w:val="none"/>
                      <w:lang w:val="en-US" w:eastAsia="zh-CN"/>
                    </w:rPr>
                  </w:pPr>
                  <w:r>
                    <w:rPr>
                      <w:rFonts w:hint="eastAsia" w:ascii="Times New Roman" w:hAnsi="Times New Roman"/>
                      <w:color w:val="000000"/>
                      <w:sz w:val="20"/>
                      <w:szCs w:val="20"/>
                      <w:lang w:val="en-US" w:eastAsia="zh-CN"/>
                    </w:rPr>
                    <w:t>30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24</w:t>
                  </w: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highlight w:val="none"/>
                      <w:lang w:val="en-US" w:eastAsia="zh-CN"/>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ascii="Times New Roman" w:hAnsi="宋体"/>
                      <w:color w:val="000000"/>
                      <w:kern w:val="0"/>
                      <w:sz w:val="20"/>
                      <w:szCs w:val="20"/>
                      <w:highlight w:val="none"/>
                    </w:rPr>
                  </w:pPr>
                  <w:r>
                    <w:rPr>
                      <w:rFonts w:hint="eastAsia" w:ascii="宋体" w:hAnsi="宋体"/>
                      <w:color w:val="000000"/>
                      <w:kern w:val="0"/>
                      <w:sz w:val="20"/>
                      <w:szCs w:val="20"/>
                    </w:rPr>
                    <w:t>必修</w:t>
                  </w:r>
                </w:p>
              </w:tc>
              <w:tc>
                <w:tcPr>
                  <w:tcW w:w="0" w:type="auto"/>
                  <w:tcBorders>
                    <w:tl2br w:val="nil"/>
                    <w:tr2bl w:val="nil"/>
                  </w:tcBorders>
                  <w:vAlign w:val="center"/>
                </w:tcPr>
                <w:p>
                  <w:pPr>
                    <w:widowControl/>
                    <w:jc w:val="center"/>
                    <w:textAlignment w:val="center"/>
                    <w:rPr>
                      <w:rFonts w:hint="eastAsia" w:ascii="Times New Roman" w:hAnsi="宋体"/>
                      <w:color w:val="000000"/>
                      <w:kern w:val="0"/>
                      <w:sz w:val="20"/>
                      <w:szCs w:val="20"/>
                      <w:lang w:val="en-US" w:eastAsia="zh-CN"/>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16</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20311</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s="Times New Roman"/>
                      <w:color w:val="000000"/>
                      <w:kern w:val="0"/>
                      <w:sz w:val="20"/>
                      <w:szCs w:val="20"/>
                      <w:lang w:val="en-US" w:eastAsia="zh-CN" w:bidi="ar-SA"/>
                    </w:rPr>
                    <w:t>医学伦理学</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17</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20312</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sz w:val="20"/>
                      <w:szCs w:val="20"/>
                    </w:rPr>
                    <w:t>医学心理学</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both"/>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18</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60009</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sz w:val="20"/>
                      <w:szCs w:val="20"/>
                    </w:rPr>
                    <w:t>中医药学概论</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专业课</w:t>
                  </w:r>
                </w:p>
              </w:tc>
              <w:tc>
                <w:tcPr>
                  <w:tcW w:w="0" w:type="auto"/>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20</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19</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20301</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sz w:val="20"/>
                      <w:szCs w:val="20"/>
                    </w:rPr>
                    <w:t>临床医学概论</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72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kern w:val="0"/>
                      <w:sz w:val="20"/>
                      <w:szCs w:val="20"/>
                      <w:lang w:val="en-US" w:eastAsia="zh-CN"/>
                    </w:rPr>
                  </w:pPr>
                  <w:r>
                    <w:rPr>
                      <w:rFonts w:hint="default" w:ascii="Times New Roman" w:hAnsi="Times New Roman" w:eastAsia="宋体" w:cs="Times New Roman"/>
                      <w:color w:val="000000" w:themeColor="text1"/>
                      <w:kern w:val="0"/>
                      <w:sz w:val="20"/>
                      <w:szCs w:val="20"/>
                      <w14:textFill>
                        <w14:solidFill>
                          <w14:schemeClr w14:val="tx1"/>
                        </w14:solidFill>
                      </w14:textFill>
                    </w:rPr>
                    <w:t>2</w:t>
                  </w: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0</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20302</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sz w:val="20"/>
                      <w:szCs w:val="20"/>
                    </w:rPr>
                    <w:t>调剂学</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0" w:type="auto"/>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21</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20305</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sz w:val="20"/>
                      <w:szCs w:val="20"/>
                    </w:rPr>
                    <w:t>药剂学（本）</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72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default" w:ascii="Times New Roman" w:hAnsi="Times New Roman" w:eastAsia="宋体" w:cs="Times New Roman"/>
                      <w:color w:val="000000" w:themeColor="text1"/>
                      <w:kern w:val="0"/>
                      <w:sz w:val="20"/>
                      <w:szCs w:val="20"/>
                      <w14:textFill>
                        <w14:solidFill>
                          <w14:schemeClr w14:val="tx1"/>
                        </w14:solidFill>
                      </w14:textFill>
                    </w:rPr>
                    <w:t>22</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20306</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sz w:val="20"/>
                      <w:szCs w:val="20"/>
                    </w:rPr>
                    <w:t>临床药理学</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30</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default" w:ascii="Times New Roman" w:hAnsi="Times New Roman"/>
                      <w:color w:val="000000" w:themeColor="text1"/>
                      <w:kern w:val="0"/>
                      <w:sz w:val="20"/>
                      <w:szCs w:val="20"/>
                      <w14:textFill>
                        <w14:solidFill>
                          <w14:schemeClr w14:val="tx1"/>
                        </w14:solidFill>
                      </w14:textFill>
                    </w:rPr>
                    <w:t>23</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20307</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sz w:val="20"/>
                      <w:szCs w:val="20"/>
                    </w:rPr>
                    <w:t>药物治疗学（本）</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72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30</w:t>
                  </w: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Times New Roman" w:hAnsi="Times New Roman" w:cs="Times New Roman"/>
                      <w:color w:val="000000" w:themeColor="text1"/>
                      <w:kern w:val="0"/>
                      <w:sz w:val="20"/>
                      <w:szCs w:val="20"/>
                      <w:lang w:val="en-US" w:eastAsia="zh-CN" w:bidi="ar-SA"/>
                      <w14:textFill>
                        <w14:solidFill>
                          <w14:schemeClr w14:val="tx1"/>
                        </w14:solidFill>
                      </w14:textFill>
                    </w:rPr>
                    <w:t>24</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20309</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333333"/>
                      <w:sz w:val="18"/>
                      <w:szCs w:val="18"/>
                      <w:shd w:val="clear" w:color="auto" w:fill="FFFFFF"/>
                    </w:rPr>
                    <w:t>药事管理与法规（本）</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0" w:type="auto"/>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Times New Roman" w:hAnsi="Times New Roman" w:cs="Times New Roman"/>
                      <w:color w:val="000000" w:themeColor="text1"/>
                      <w:kern w:val="2"/>
                      <w:sz w:val="20"/>
                      <w:szCs w:val="20"/>
                      <w:lang w:val="en-US" w:eastAsia="zh-CN" w:bidi="ar-SA"/>
                      <w14:textFill>
                        <w14:solidFill>
                          <w14:schemeClr w14:val="tx1"/>
                        </w14:solidFill>
                      </w14:textFill>
                    </w:rPr>
                    <w:t>25</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20314</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sz w:val="20"/>
                      <w:szCs w:val="20"/>
                    </w:rPr>
                    <w:t>健康教育与健康促进</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eastAsia="Arial" w:cs="Arial"/>
                      <w:snapToGrid w:val="0"/>
                      <w:color w:val="000000"/>
                      <w:kern w:val="0"/>
                      <w:sz w:val="20"/>
                      <w:szCs w:val="20"/>
                      <w:lang w:val="en-US" w:eastAsia="zh-CN"/>
                    </w:rPr>
                  </w:pPr>
                  <w:r>
                    <w:rPr>
                      <w:rFonts w:hint="eastAsia" w:ascii="宋体" w:hAnsi="宋体"/>
                      <w:color w:val="000000"/>
                      <w:kern w:val="0"/>
                      <w:sz w:val="20"/>
                      <w:szCs w:val="20"/>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default" w:ascii="Times New Roman" w:hAnsi="Times New Roman"/>
                      <w:color w:val="000000" w:themeColor="text1"/>
                      <w:kern w:val="0"/>
                      <w:sz w:val="20"/>
                      <w:szCs w:val="20"/>
                      <w14:textFill>
                        <w14:solidFill>
                          <w14:schemeClr w14:val="tx1"/>
                        </w14:solidFill>
                      </w14:textFill>
                    </w:rPr>
                    <w:t>26</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20315</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sz w:val="20"/>
                      <w:szCs w:val="20"/>
                    </w:rPr>
                    <w:t>药学信息检索</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eastAsia="Arial" w:cs="Arial"/>
                      <w:snapToGrid w:val="0"/>
                      <w:color w:val="000000"/>
                      <w:kern w:val="0"/>
                      <w:sz w:val="20"/>
                      <w:szCs w:val="20"/>
                      <w:lang w:val="en-US" w:eastAsia="zh-CN"/>
                    </w:rPr>
                  </w:pPr>
                  <w:r>
                    <w:rPr>
                      <w:rFonts w:hint="eastAsia" w:ascii="宋体" w:hAnsi="宋体"/>
                      <w:color w:val="000000"/>
                      <w:kern w:val="0"/>
                      <w:sz w:val="20"/>
                      <w:szCs w:val="20"/>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default" w:ascii="Times New Roman" w:hAnsi="Times New Roman"/>
                      <w:color w:val="000000" w:themeColor="text1"/>
                      <w:kern w:val="0"/>
                      <w:sz w:val="20"/>
                      <w:szCs w:val="20"/>
                      <w14:textFill>
                        <w14:solidFill>
                          <w14:schemeClr w14:val="tx1"/>
                        </w14:solidFill>
                      </w14:textFill>
                    </w:rPr>
                    <w:t>27</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14:textFill>
                        <w14:solidFill>
                          <w14:schemeClr w14:val="tx1"/>
                        </w14:solidFill>
                      </w14:textFill>
                    </w:rPr>
                    <w:t>20316</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sz w:val="20"/>
                      <w:szCs w:val="20"/>
                    </w:rPr>
                    <w:t>天然药物学</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rPr>
                    <w:t>36</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eastAsia="Arial" w:cs="Arial"/>
                      <w:snapToGrid w:val="0"/>
                      <w:color w:val="000000"/>
                      <w:kern w:val="0"/>
                      <w:sz w:val="20"/>
                      <w:szCs w:val="20"/>
                      <w:lang w:val="en-US" w:eastAsia="zh-CN"/>
                    </w:rPr>
                  </w:pPr>
                  <w:r>
                    <w:rPr>
                      <w:rFonts w:hint="eastAsia" w:ascii="宋体" w:hAnsi="宋体"/>
                      <w:color w:val="000000"/>
                      <w:kern w:val="0"/>
                      <w:sz w:val="20"/>
                      <w:szCs w:val="20"/>
                    </w:rPr>
                    <w:t>选修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通识课</w:t>
                  </w:r>
                </w:p>
              </w:tc>
              <w:tc>
                <w:tcPr>
                  <w:tcW w:w="0" w:type="auto"/>
                  <w:vMerge w:val="restar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2</w:t>
                  </w:r>
                </w:p>
              </w:tc>
              <w:tc>
                <w:tcPr>
                  <w:tcW w:w="0" w:type="auto"/>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28</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70007</w:t>
                  </w:r>
                </w:p>
              </w:tc>
              <w:tc>
                <w:tcPr>
                  <w:tcW w:w="0" w:type="auto"/>
                  <w:tcBorders>
                    <w:tl2br w:val="nil"/>
                    <w:tr2bl w:val="nil"/>
                  </w:tcBorders>
                  <w:vAlign w:val="center"/>
                </w:tcPr>
                <w:p>
                  <w:pPr>
                    <w:autoSpaceDE w:val="0"/>
                    <w:autoSpaceDN w:val="0"/>
                    <w:adjustRightInd w:val="0"/>
                    <w:rPr>
                      <w:rFonts w:hint="eastAsia" w:ascii="宋体" w:hAnsi="宋体"/>
                      <w:kern w:val="0"/>
                      <w:sz w:val="20"/>
                      <w:szCs w:val="20"/>
                    </w:rPr>
                  </w:pPr>
                  <w:r>
                    <w:rPr>
                      <w:rFonts w:hint="eastAsia" w:cs="Arial" w:asciiTheme="minorEastAsia" w:hAnsiTheme="minorEastAsia"/>
                      <w:kern w:val="0"/>
                      <w:sz w:val="18"/>
                      <w:szCs w:val="18"/>
                    </w:rPr>
                    <w:t>江西红色文化</w:t>
                  </w:r>
                  <w:r>
                    <w:rPr>
                      <w:rFonts w:hint="eastAsia" w:cs="Arial" w:asciiTheme="minorEastAsia" w:hAnsiTheme="minorEastAsia"/>
                      <w:kern w:val="0"/>
                      <w:sz w:val="18"/>
                      <w:szCs w:val="18"/>
                      <w:lang w:eastAsia="zh-CN"/>
                    </w:rPr>
                    <w:t>（本）</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20</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16</w:t>
                  </w:r>
                </w:p>
              </w:tc>
              <w:tc>
                <w:tcPr>
                  <w:tcW w:w="0" w:type="auto"/>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必修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29</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70003</w:t>
                  </w:r>
                </w:p>
              </w:tc>
              <w:tc>
                <w:tcPr>
                  <w:tcW w:w="0" w:type="auto"/>
                  <w:tcBorders>
                    <w:tl2br w:val="nil"/>
                    <w:tr2bl w:val="nil"/>
                  </w:tcBorders>
                  <w:vAlign w:val="center"/>
                </w:tcPr>
                <w:p>
                  <w:pPr>
                    <w:autoSpaceDE w:val="0"/>
                    <w:autoSpaceDN w:val="0"/>
                    <w:adjustRightInd w:val="0"/>
                    <w:rPr>
                      <w:rFonts w:hint="eastAsia" w:ascii="宋体" w:hAnsi="宋体"/>
                      <w:kern w:val="0"/>
                      <w:sz w:val="20"/>
                      <w:szCs w:val="20"/>
                    </w:rPr>
                  </w:pPr>
                  <w:r>
                    <w:rPr>
                      <w:rFonts w:hint="eastAsia" w:cs="Arial" w:asciiTheme="minorEastAsia" w:hAnsiTheme="minorEastAsia"/>
                      <w:kern w:val="0"/>
                      <w:sz w:val="18"/>
                      <w:szCs w:val="18"/>
                      <w:lang w:val="en-US" w:eastAsia="zh-CN"/>
                    </w:rPr>
                    <w:t>常见心理问题与应对危机</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lang w:val="en-US" w:eastAsia="zh-CN"/>
                    </w:rPr>
                    <w:t>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lang w:val="en-US" w:eastAsia="zh-CN"/>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lang w:val="en-US" w:eastAsia="zh-CN"/>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Times New Roman" w:hAnsi="宋体"/>
                      <w:color w:val="000000"/>
                      <w:kern w:val="0"/>
                      <w:sz w:val="20"/>
                      <w:szCs w:val="20"/>
                      <w:lang w:val="en-US" w:eastAsia="zh-CN"/>
                    </w:rPr>
                    <w:t>选修</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cs="Arial" w:asciiTheme="minorEastAsia" w:hAnsiTheme="minorEastAsia"/>
                      <w:kern w:val="0"/>
                      <w:szCs w:val="21"/>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企业特色课</w:t>
                  </w:r>
                </w:p>
              </w:tc>
              <w:tc>
                <w:tcPr>
                  <w:tcW w:w="0" w:type="auto"/>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6</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30</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20319</w:t>
                  </w:r>
                </w:p>
              </w:tc>
              <w:tc>
                <w:tcPr>
                  <w:tcW w:w="0" w:type="auto"/>
                  <w:tcBorders>
                    <w:tl2br w:val="nil"/>
                    <w:tr2bl w:val="nil"/>
                  </w:tcBorders>
                  <w:vAlign w:val="center"/>
                </w:tcPr>
                <w:p>
                  <w:pPr>
                    <w:widowControl/>
                    <w:jc w:val="left"/>
                    <w:textAlignment w:val="center"/>
                    <w:rPr>
                      <w:rFonts w:hint="eastAsia" w:cs="Arial" w:asciiTheme="minorEastAsia" w:hAnsiTheme="minorEastAsia"/>
                      <w:kern w:val="0"/>
                      <w:sz w:val="18"/>
                      <w:szCs w:val="18"/>
                      <w:lang w:val="en-US" w:eastAsia="zh-CN"/>
                    </w:rPr>
                  </w:pPr>
                  <w:r>
                    <w:rPr>
                      <w:rFonts w:hint="eastAsia" w:ascii="宋体" w:hAnsi="宋体"/>
                      <w:color w:val="000000"/>
                      <w:kern w:val="0"/>
                    </w:rPr>
                    <w:t>企业特色课</w:t>
                  </w:r>
                  <w:r>
                    <w:rPr>
                      <w:rFonts w:ascii="Times New Roman" w:hAnsi="Times New Roman"/>
                      <w:color w:val="000000"/>
                      <w:kern w:val="0"/>
                    </w:rPr>
                    <w:t>1</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rPr>
                  </w:pPr>
                  <w:r>
                    <w:rPr>
                      <w:rFonts w:ascii="Times New Roman" w:hAnsi="Times New Roman"/>
                      <w:color w:val="000000"/>
                    </w:rPr>
                    <w:t>3</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lang w:val="en-US" w:eastAsia="zh-CN"/>
                    </w:rPr>
                  </w:pPr>
                  <w:r>
                    <w:rPr>
                      <w:rFonts w:ascii="Times New Roman" w:hAnsi="Times New Roman"/>
                      <w:color w:val="000000"/>
                    </w:rPr>
                    <w:t>54</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lang w:val="en-US" w:eastAsia="zh-CN"/>
                    </w:rPr>
                  </w:pPr>
                  <w:r>
                    <w:rPr>
                      <w:rFonts w:ascii="Times New Roman" w:hAnsi="Times New Roman"/>
                      <w:color w:val="000000"/>
                    </w:rPr>
                    <w:t>0</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lang w:val="en-US" w:eastAsia="zh-CN"/>
                    </w:rPr>
                  </w:pPr>
                  <w:r>
                    <w:rPr>
                      <w:rFonts w:ascii="Times New Roman" w:hAnsi="Times New Roman"/>
                      <w:color w:val="000000"/>
                    </w:rPr>
                    <w:t>54</w:t>
                  </w: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widowControl/>
                    <w:jc w:val="center"/>
                    <w:textAlignment w:val="center"/>
                    <w:rPr>
                      <w:rFonts w:hint="eastAsia" w:cs="Arial" w:asciiTheme="minorEastAsia" w:hAnsiTheme="minorEastAsia"/>
                      <w:kern w:val="0"/>
                      <w:szCs w:val="21"/>
                    </w:rPr>
                  </w:pPr>
                  <w:r>
                    <w:rPr>
                      <w:rFonts w:hint="eastAsia" w:ascii="宋体" w:hAnsi="宋体"/>
                      <w:color w:val="000000"/>
                      <w:kern w:val="0"/>
                    </w:rPr>
                    <w:t>必修</w:t>
                  </w:r>
                </w:p>
              </w:tc>
              <w:tc>
                <w:tcPr>
                  <w:tcW w:w="0" w:type="auto"/>
                  <w:tcBorders>
                    <w:tl2br w:val="nil"/>
                    <w:tr2bl w:val="nil"/>
                  </w:tcBorders>
                  <w:vAlign w:val="center"/>
                </w:tcPr>
                <w:p>
                  <w:pPr>
                    <w:widowControl/>
                    <w:jc w:val="center"/>
                    <w:textAlignment w:val="center"/>
                    <w:rPr>
                      <w:rFonts w:hint="eastAsia" w:ascii="Times New Roman" w:hAnsi="宋体"/>
                      <w:color w:val="000000"/>
                      <w:kern w:val="0"/>
                      <w:sz w:val="20"/>
                      <w:szCs w:val="20"/>
                      <w:lang w:val="en-US" w:eastAsia="zh-CN"/>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31</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kern w:val="0"/>
                      <w:sz w:val="20"/>
                      <w:szCs w:val="20"/>
                    </w:rPr>
                  </w:pPr>
                  <w:r>
                    <w:rPr>
                      <w:rFonts w:hint="eastAsia" w:ascii="Times New Roman" w:hAnsi="Times New Roman" w:eastAsia="宋体" w:cs="Times New Roman"/>
                      <w:color w:val="000000" w:themeColor="text1"/>
                      <w:kern w:val="0"/>
                      <w:sz w:val="20"/>
                      <w:szCs w:val="20"/>
                      <w:lang w:val="en-US" w:eastAsia="zh-CN"/>
                      <w14:textFill>
                        <w14:solidFill>
                          <w14:schemeClr w14:val="tx1"/>
                        </w14:solidFill>
                      </w14:textFill>
                    </w:rPr>
                    <w:t>20320</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kern w:val="0"/>
                    </w:rPr>
                    <w:t>企业特色课</w:t>
                  </w:r>
                  <w:r>
                    <w:rPr>
                      <w:rFonts w:ascii="Times New Roman" w:hAnsi="Times New Roman"/>
                      <w:color w:val="000000"/>
                      <w:kern w:val="0"/>
                    </w:rPr>
                    <w:t>2</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rPr>
                    <w:t>3</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rPr>
                    <w:t>54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rPr>
                    <w:t>54</w:t>
                  </w: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restart"/>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r>
                    <w:rPr>
                      <w:rFonts w:hint="eastAsia" w:ascii="宋体" w:hAnsi="宋体"/>
                      <w:kern w:val="0"/>
                      <w:sz w:val="20"/>
                      <w:szCs w:val="20"/>
                      <w:lang w:val="en-US" w:eastAsia="zh-CN"/>
                    </w:rPr>
                    <w:t>综合实践</w:t>
                  </w:r>
                </w:p>
              </w:tc>
              <w:tc>
                <w:tcPr>
                  <w:tcW w:w="0" w:type="auto"/>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9</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rPr>
                  </w:pPr>
                  <w:r>
                    <w:rPr>
                      <w:rFonts w:hint="eastAsia" w:ascii="Times New Roman" w:hAnsi="Times New Roman" w:cs="Times New Roman"/>
                      <w:color w:val="000000" w:themeColor="text1"/>
                      <w:kern w:val="0"/>
                      <w:sz w:val="20"/>
                      <w:szCs w:val="20"/>
                      <w:lang w:val="en-US" w:eastAsia="zh-CN"/>
                      <w14:textFill>
                        <w14:solidFill>
                          <w14:schemeClr w14:val="tx1"/>
                        </w14:solidFill>
                      </w14:textFill>
                    </w:rPr>
                    <w:t>32</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20321</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kern w:val="0"/>
                    </w:rPr>
                    <w:t>专业实习</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rPr>
                    <w:t>4</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rPr>
                    <w:t>72</w:t>
                  </w:r>
                </w:p>
              </w:tc>
              <w:tc>
                <w:tcPr>
                  <w:tcW w:w="0" w:type="auto"/>
                  <w:tcBorders>
                    <w:tl2br w:val="nil"/>
                    <w:tr2bl w:val="nil"/>
                  </w:tcBorders>
                  <w:vAlign w:val="center"/>
                </w:tcPr>
                <w:p>
                  <w:pPr>
                    <w:jc w:val="center"/>
                    <w:rPr>
                      <w:rFonts w:hint="eastAsia" w:ascii="宋体" w:hAnsi="宋体"/>
                      <w:kern w:val="0"/>
                      <w:sz w:val="20"/>
                      <w:szCs w:val="20"/>
                    </w:rPr>
                  </w:pPr>
                  <w:r>
                    <w:rPr>
                      <w:rFonts w:ascii="Times New Roman" w:hAnsi="Times New Roman"/>
                      <w:color w:val="000000"/>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rPr>
                    <w:t>72</w:t>
                  </w: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both"/>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72</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kern w:val="0"/>
                      <w:sz w:val="20"/>
                      <w:szCs w:val="20"/>
                      <w:lang w:val="en-US"/>
                    </w:rPr>
                  </w:pPr>
                  <w:r>
                    <w:rPr>
                      <w:rFonts w:hint="eastAsia" w:ascii="Times New Roman" w:hAnsi="Times New Roman"/>
                      <w:color w:val="000000" w:themeColor="text1"/>
                      <w:sz w:val="20"/>
                      <w:szCs w:val="20"/>
                      <w:lang w:val="en-US" w:eastAsia="zh-CN"/>
                      <w14:textFill>
                        <w14:solidFill>
                          <w14:schemeClr w14:val="tx1"/>
                        </w14:solidFill>
                      </w14:textFill>
                    </w:rPr>
                    <w:t>33</w:t>
                  </w:r>
                </w:p>
              </w:tc>
              <w:tc>
                <w:tcPr>
                  <w:tcW w:w="0" w:type="auto"/>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20322</w:t>
                  </w:r>
                </w:p>
              </w:tc>
              <w:tc>
                <w:tcPr>
                  <w:tcW w:w="0" w:type="auto"/>
                  <w:tcBorders>
                    <w:tl2br w:val="nil"/>
                    <w:tr2bl w:val="nil"/>
                  </w:tcBorders>
                  <w:vAlign w:val="center"/>
                </w:tcPr>
                <w:p>
                  <w:pPr>
                    <w:widowControl/>
                    <w:jc w:val="left"/>
                    <w:textAlignment w:val="center"/>
                    <w:rPr>
                      <w:rFonts w:hint="eastAsia" w:ascii="宋体" w:hAnsi="宋体"/>
                      <w:kern w:val="0"/>
                      <w:sz w:val="20"/>
                      <w:szCs w:val="20"/>
                    </w:rPr>
                  </w:pPr>
                  <w:r>
                    <w:rPr>
                      <w:rFonts w:hint="eastAsia" w:ascii="宋体" w:hAnsi="宋体"/>
                      <w:color w:val="000000"/>
                      <w:kern w:val="0"/>
                    </w:rPr>
                    <w:t>毕业论文</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rPr>
                    <w:t>5</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rPr>
                    <w:t>90</w:t>
                  </w:r>
                </w:p>
              </w:tc>
              <w:tc>
                <w:tcPr>
                  <w:tcW w:w="0" w:type="auto"/>
                  <w:tcBorders>
                    <w:tl2br w:val="nil"/>
                    <w:tr2bl w:val="nil"/>
                  </w:tcBorders>
                  <w:vAlign w:val="center"/>
                </w:tcPr>
                <w:p>
                  <w:pPr>
                    <w:jc w:val="center"/>
                    <w:rPr>
                      <w:rFonts w:hint="eastAsia" w:ascii="宋体" w:hAnsi="宋体"/>
                      <w:kern w:val="0"/>
                      <w:sz w:val="20"/>
                      <w:szCs w:val="20"/>
                    </w:rPr>
                  </w:pPr>
                  <w:r>
                    <w:rPr>
                      <w:rFonts w:ascii="Times New Roman" w:hAnsi="Times New Roman"/>
                      <w:color w:val="000000"/>
                    </w:rPr>
                    <w:t>0</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rPr>
                    <w:t>90</w:t>
                  </w:r>
                </w:p>
              </w:tc>
              <w:tc>
                <w:tcPr>
                  <w:tcW w:w="0" w:type="auto"/>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0</w:t>
                  </w:r>
                </w:p>
              </w:tc>
              <w:tc>
                <w:tcPr>
                  <w:tcW w:w="0" w:type="auto"/>
                  <w:tcBorders>
                    <w:tl2br w:val="nil"/>
                    <w:tr2bl w:val="nil"/>
                  </w:tcBorders>
                  <w:vAlign w:val="center"/>
                </w:tcPr>
                <w:p>
                  <w:pPr>
                    <w:widowControl/>
                    <w:jc w:val="both"/>
                    <w:textAlignment w:val="center"/>
                    <w:rPr>
                      <w:rFonts w:hint="eastAsia" w:ascii="宋体" w:hAnsi="宋体"/>
                      <w:kern w:val="0"/>
                      <w:sz w:val="20"/>
                      <w:szCs w:val="20"/>
                    </w:rPr>
                  </w:pPr>
                </w:p>
              </w:tc>
              <w:tc>
                <w:tcPr>
                  <w:tcW w:w="0" w:type="auto"/>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90</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rPr>
                    <w:t>必修</w:t>
                  </w:r>
                </w:p>
              </w:tc>
              <w:tc>
                <w:tcPr>
                  <w:tcW w:w="0" w:type="auto"/>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6" w:hRule="exact"/>
              </w:trPr>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gridSpan w:val="4"/>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合  计</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95</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1710</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1161</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549</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0</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350</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440</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386</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440</w:t>
                  </w:r>
                </w:p>
              </w:tc>
              <w:tc>
                <w:tcPr>
                  <w:tcW w:w="0" w:type="auto"/>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94</w:t>
                  </w:r>
                </w:p>
              </w:tc>
              <w:tc>
                <w:tcPr>
                  <w:tcW w:w="0" w:type="auto"/>
                  <w:gridSpan w:val="3"/>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gridSpan w:val="6"/>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百分比（%）</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68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32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0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20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26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23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26 </w:t>
                  </w:r>
                </w:p>
              </w:tc>
              <w:tc>
                <w:tcPr>
                  <w:tcW w:w="0" w:type="auto"/>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5 </w:t>
                  </w:r>
                </w:p>
              </w:tc>
              <w:tc>
                <w:tcPr>
                  <w:tcW w:w="0" w:type="auto"/>
                  <w:gridSpan w:val="3"/>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0" w:type="auto"/>
                  <w:tcBorders>
                    <w:tl2br w:val="nil"/>
                    <w:tr2bl w:val="nil"/>
                  </w:tcBorders>
                  <w:vAlign w:val="center"/>
                </w:tcPr>
                <w:p>
                  <w:pPr>
                    <w:autoSpaceDE w:val="0"/>
                    <w:autoSpaceDN w:val="0"/>
                    <w:adjustRightInd w:val="0"/>
                    <w:jc w:val="center"/>
                    <w:rPr>
                      <w:rFonts w:hint="eastAsia" w:ascii="宋体" w:hAnsi="宋体"/>
                      <w:kern w:val="0"/>
                      <w:sz w:val="20"/>
                      <w:szCs w:val="20"/>
                    </w:rPr>
                  </w:pPr>
                </w:p>
              </w:tc>
            </w:tr>
          </w:tbl>
          <w:p>
            <w:pPr>
              <w:pStyle w:val="2"/>
              <w:rPr>
                <w:rFonts w:hint="eastAsia"/>
              </w:rPr>
            </w:pPr>
          </w:p>
          <w:p>
            <w:pPr>
              <w:rPr>
                <w:szCs w:val="21"/>
              </w:rPr>
            </w:pPr>
            <w:r>
              <w:t xml:space="preserve"> </w:t>
            </w:r>
          </w:p>
          <w:p>
            <w:pPr>
              <w:pStyle w:val="3"/>
              <w:spacing w:before="156" w:after="156"/>
              <w:ind w:firstLine="56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十</w:t>
            </w:r>
            <w:r>
              <w:rPr>
                <w:rFonts w:hint="eastAsia" w:ascii="仿宋" w:hAnsi="仿宋" w:eastAsia="仿宋" w:cs="仿宋"/>
                <w:color w:val="000000" w:themeColor="text1"/>
                <w:sz w:val="28"/>
                <w:szCs w:val="28"/>
                <w14:textFill>
                  <w14:solidFill>
                    <w14:schemeClr w14:val="tx1"/>
                  </w14:solidFill>
                </w14:textFill>
              </w:rPr>
              <w:t>、质量保障</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（一）师资队伍</w:t>
            </w:r>
          </w:p>
          <w:p>
            <w:pPr>
              <w:pStyle w:val="10"/>
              <w:widowControl w:val="0"/>
              <w:spacing w:beforeAutospacing="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药学专业专任课程责任教师共8人，其中教授2人，副教授2人；具有硕士研究生学历（位）的1人，已经形成一支素质优良、结构较合理、充满活力的教师队伍。本专业拥有覆盖全省的纵向办学系统。江西开放大学系统11个市级开放学院均已开设药学专业，本系统已经培养出一批熟悉成人教育的，素质较高的专业教师，市级开放学院及其教学点也有一批专兼职老师从事药学专业的教学和课程管理，为开设本专业提供了重要的支撑力量。</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（二）教学资源</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本专业必修课程建立了多种形式、多种多样的音视频素材、教学课件教学资源；选修课程由地市开放大学统一开设，各地市开放大学根据当地的具体情况开设课程，建设课程学习资源。</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（三）设施设备</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拥有完备、齐全的现代化教育教学设备。包括：各类电脑1300余台、多媒体教室5个、云教室2个、双向视频室1个，以及其他各类专用教室及专用教学仪器；其次，教学及管理软件支持条件，包括专职管理人员，教学管理制度与办法，教务管理软件等，能够满足实际教学的需要。</w:t>
            </w:r>
          </w:p>
          <w:p>
            <w:pPr>
              <w:pStyle w:val="10"/>
              <w:widowControl w:val="0"/>
              <w:spacing w:beforeAutospacing="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（四）教学过程管理</w:t>
            </w:r>
          </w:p>
          <w:p>
            <w:pPr>
              <w:ind w:firstLine="560" w:firstLineChars="200"/>
              <w:rPr>
                <w:rFonts w:ascii="仿宋" w:hAnsi="仿宋" w:eastAsia="仿宋" w:cs="仿宋"/>
                <w:sz w:val="28"/>
                <w:szCs w:val="28"/>
              </w:rPr>
            </w:pPr>
            <w:r>
              <w:rPr>
                <w:rFonts w:hint="eastAsia" w:ascii="仿宋" w:hAnsi="仿宋" w:eastAsia="仿宋" w:cs="仿宋"/>
                <w:sz w:val="28"/>
                <w:szCs w:val="28"/>
              </w:rPr>
              <w:t>1.为全面推进素质教育，提高教学质量，江西开放大学利用现代远程教育技术和手段，依托江西省终身学习平台，推进线上线下相结合的混合式教学模式改革，注重多种教学媒体综合运用，加强对教学过程的管理。</w:t>
            </w:r>
          </w:p>
          <w:p>
            <w:pPr>
              <w:ind w:firstLine="560" w:firstLineChars="200"/>
              <w:rPr>
                <w:rFonts w:ascii="仿宋" w:hAnsi="仿宋" w:eastAsia="仿宋" w:cs="仿宋"/>
                <w:sz w:val="28"/>
                <w:szCs w:val="28"/>
              </w:rPr>
            </w:pPr>
            <w:r>
              <w:rPr>
                <w:rFonts w:hint="eastAsia" w:ascii="仿宋" w:hAnsi="仿宋" w:eastAsia="仿宋" w:cs="仿宋"/>
                <w:sz w:val="28"/>
                <w:szCs w:val="28"/>
              </w:rPr>
              <w:t>2.江西开放大学统一制定试点专业教学实施方案，市级开放学院根据专业教学实施方案的要求制定教学实施细则，并报江西开放大学备案。</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3.江西开放大学根据</w:t>
            </w:r>
            <w:r>
              <w:rPr>
                <w:rFonts w:hint="eastAsia" w:ascii="仿宋" w:hAnsi="仿宋" w:eastAsia="仿宋" w:cs="仿宋"/>
                <w:color w:val="000000" w:themeColor="text1"/>
                <w:sz w:val="28"/>
                <w:szCs w:val="28"/>
                <w14:textFill>
                  <w14:solidFill>
                    <w14:schemeClr w14:val="tx1"/>
                  </w14:solidFill>
                </w14:textFill>
              </w:rPr>
              <w:t>开设专业教学实施方案和教学大纲，组织设计、编制必修课程的文字及网络等多种媒体教材；依托江西省终身学习平台，推进线上线下相结合的混合式教学模式改革，开展“六网融通”的教学模式改革，通过多种手段开展教学和教学辅导工作，为试点开放大学和学生提供多种形式的教学服务。</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4.市级开放大学组织实施并完成必修课程的教学任务，同时根据专业教学实施方案和教学大纲，组织编制、参与设计或选定自开课程的多种媒体教材，制定自开课程以及集中实践环节的教学方案并组织实施。</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5.市级开放大学要充分利用当地普通高校和社会办学资源，加强实践教学基地建设，注重对学生平时作业、实验、实习和社会调查等教学环节的落实。</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6.江西开放大学制定教学教务管理办法及学籍管理办法，建立和健全教学巡查和评估制度，对教学单位的教学组织与教学管理工作进行检查、监督和评估，并与市级开放学院共同实施教学管理。</w:t>
            </w:r>
          </w:p>
          <w:p>
            <w:pPr>
              <w:pStyle w:val="10"/>
              <w:widowControl w:val="0"/>
              <w:spacing w:beforeAutospacing="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（五）考核方式</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1.考核是重要的教学评估手段和教学质量保证措施。要注意对学习过程的考核评价。考核由形成性考核和期末考试两部分组成。考核方式采用多种方式进行。</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2.江西开放大学制定必修课程考核管理办法，完成考核说明的编制和期末考试命题工作，市级开放学院负责自开课程和部分实践性环节的考核。</w:t>
            </w:r>
          </w:p>
          <w:p>
            <w:pPr>
              <w:pStyle w:val="10"/>
              <w:widowControl w:val="0"/>
              <w:spacing w:beforeAutospacing="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（六）成绩及证书</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1.学生的课程成绩由形成性考核成绩和期末考试成绩两部分组成，成绩合格者获得相应的学分。</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2.江西开放大学通过对符合毕业要求的学生审核后，颁发国家承认的本科学历毕业证书。</w:t>
            </w:r>
          </w:p>
          <w:p>
            <w:pPr>
              <w:pStyle w:val="10"/>
              <w:widowControl w:val="0"/>
              <w:spacing w:beforeAutospacing="0"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（七）学习成果转换</w:t>
            </w:r>
          </w:p>
          <w:p>
            <w:pPr>
              <w:pStyle w:val="10"/>
              <w:widowControl w:val="0"/>
              <w:spacing w:beforeAutospacing="0" w:afterAutospacing="0"/>
              <w:ind w:firstLine="560" w:firstLineChars="200"/>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江西开放大学通过学分银行管理办法，对学生学习成果（课程、证书、经历等）进行认定、转换，为学生搭建终身学习的立交桥。</w:t>
            </w:r>
          </w:p>
        </w:tc>
      </w:tr>
    </w:tbl>
    <w:p>
      <w:pPr>
        <w:spacing w:after="156" w:afterLines="50" w:line="580" w:lineRule="exact"/>
        <w:jc w:val="center"/>
        <w:rPr>
          <w:rFonts w:ascii="仿宋" w:hAnsi="仿宋" w:eastAsia="仿宋" w:cs="仿宋"/>
          <w:sz w:val="28"/>
          <w:szCs w:val="28"/>
        </w:rPr>
      </w:pPr>
    </w:p>
    <w:p>
      <w:pPr>
        <w:spacing w:after="156" w:afterLines="50" w:line="580" w:lineRule="exact"/>
        <w:jc w:val="center"/>
        <w:rPr>
          <w:rFonts w:ascii="仿宋" w:hAnsi="仿宋" w:eastAsia="仿宋" w:cs="仿宋"/>
          <w:sz w:val="28"/>
          <w:szCs w:val="28"/>
        </w:rPr>
      </w:pP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t>5.增设专业专任教师情况</w:t>
      </w:r>
    </w:p>
    <w:tbl>
      <w:tblPr>
        <w:tblStyle w:val="12"/>
        <w:tblW w:w="55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1151"/>
        <w:gridCol w:w="612"/>
        <w:gridCol w:w="527"/>
        <w:gridCol w:w="1077"/>
        <w:gridCol w:w="1068"/>
        <w:gridCol w:w="1511"/>
        <w:gridCol w:w="1103"/>
        <w:gridCol w:w="1079"/>
        <w:gridCol w:w="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性别</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年龄</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专业技术职务</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第一学历毕业学校、专业、学位</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最后学历毕业学校、专业、学位</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现从事</w:t>
            </w:r>
          </w:p>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专业</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拟任</w:t>
            </w:r>
          </w:p>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课程</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专职/</w:t>
            </w:r>
          </w:p>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7"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1</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吴欢欢</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讲师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江西中医学院科技学院院</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江西中医学院科技学院</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药物护理</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药理学</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exact"/>
          <w:jc w:val="center"/>
        </w:trPr>
        <w:tc>
          <w:tcPr>
            <w:tcW w:w="545"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仿宋" w:hAnsi="仿宋" w:eastAsia="仿宋" w:cs="仿宋"/>
                <w:sz w:val="28"/>
                <w:szCs w:val="28"/>
              </w:rPr>
            </w:pPr>
            <w:r>
              <w:rPr>
                <w:rFonts w:hint="eastAsia" w:ascii="仿宋" w:hAnsi="仿宋" w:eastAsia="仿宋" w:cs="仿宋"/>
                <w:sz w:val="28"/>
                <w:szCs w:val="28"/>
              </w:rPr>
              <w:t>2</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曾思瑶</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助教</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江西中医大学</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江西中医大学</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中西医结合临床</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药物检测技术</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9" w:hRule="exact"/>
          <w:jc w:val="center"/>
        </w:trPr>
        <w:tc>
          <w:tcPr>
            <w:tcW w:w="545"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仿宋" w:hAnsi="仿宋" w:eastAsia="仿宋" w:cs="仿宋"/>
                <w:sz w:val="28"/>
                <w:szCs w:val="28"/>
              </w:rPr>
            </w:pPr>
            <w:r>
              <w:rPr>
                <w:rFonts w:hint="eastAsia" w:ascii="仿宋" w:hAnsi="仿宋" w:eastAsia="仿宋" w:cs="仿宋"/>
                <w:sz w:val="28"/>
                <w:szCs w:val="28"/>
              </w:rPr>
              <w:t>3</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高端华</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讲师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江西中医学院科技学院</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江西中医学院科技学院</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药物护理</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药物制剂技术</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4" w:hRule="exact"/>
          <w:jc w:val="center"/>
        </w:trPr>
        <w:tc>
          <w:tcPr>
            <w:tcW w:w="545"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仿宋" w:hAnsi="仿宋" w:eastAsia="仿宋" w:cs="仿宋"/>
                <w:sz w:val="28"/>
                <w:szCs w:val="28"/>
              </w:rPr>
            </w:pPr>
            <w:r>
              <w:rPr>
                <w:rFonts w:hint="eastAsia" w:ascii="仿宋" w:hAnsi="仿宋" w:eastAsia="仿宋" w:cs="仿宋"/>
                <w:sz w:val="28"/>
                <w:szCs w:val="28"/>
              </w:rPr>
              <w:t>4</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李汝杰</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男</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讲师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江西中医大学</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江西中医大学</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药物</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药物化学</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仿宋" w:hAnsi="仿宋" w:eastAsia="仿宋" w:cs="仿宋"/>
                <w:sz w:val="28"/>
                <w:szCs w:val="28"/>
              </w:rPr>
            </w:pPr>
            <w:r>
              <w:rPr>
                <w:rFonts w:hint="eastAsia" w:ascii="仿宋" w:hAnsi="仿宋" w:eastAsia="仿宋" w:cs="仿宋"/>
                <w:sz w:val="28"/>
                <w:szCs w:val="28"/>
              </w:rPr>
              <w:t>5</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8"/>
                <w:szCs w:val="28"/>
              </w:rPr>
            </w:pPr>
            <w:r>
              <w:rPr>
                <w:rFonts w:hint="eastAsia" w:ascii="仿宋" w:hAnsi="仿宋" w:eastAsia="仿宋" w:cs="仿宋"/>
                <w:sz w:val="28"/>
                <w:szCs w:val="28"/>
              </w:rPr>
              <w:t>刘小敏</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男</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58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讲师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江西中医大学院</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江西中医大学院</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中医骨伤</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天然药物学</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exact"/>
          <w:jc w:val="center"/>
        </w:trPr>
        <w:tc>
          <w:tcPr>
            <w:tcW w:w="545"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仿宋" w:hAnsi="仿宋" w:eastAsia="仿宋" w:cs="仿宋"/>
                <w:sz w:val="28"/>
                <w:szCs w:val="28"/>
              </w:rPr>
            </w:pPr>
            <w:r>
              <w:rPr>
                <w:rFonts w:hint="eastAsia" w:ascii="仿宋" w:hAnsi="仿宋" w:eastAsia="仿宋" w:cs="仿宋"/>
                <w:sz w:val="28"/>
                <w:szCs w:val="28"/>
              </w:rPr>
              <w:t>6</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陈敏</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lang w:val="zh-CN"/>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lang w:val="zh-CN"/>
              </w:rPr>
              <w:t>讲师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江西护理职业技术</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江西护理职业技术学院</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药物</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药物服务技术</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7</w:t>
            </w:r>
          </w:p>
        </w:tc>
        <w:tc>
          <w:tcPr>
            <w:tcW w:w="1151"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徐育新</w:t>
            </w:r>
          </w:p>
        </w:tc>
        <w:tc>
          <w:tcPr>
            <w:tcW w:w="61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rPr>
              <w:t>男</w:t>
            </w:r>
          </w:p>
        </w:tc>
        <w:tc>
          <w:tcPr>
            <w:tcW w:w="52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rPr>
              <w:t>57</w:t>
            </w:r>
          </w:p>
        </w:tc>
        <w:tc>
          <w:tcPr>
            <w:tcW w:w="107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主管中药师</w:t>
            </w:r>
          </w:p>
        </w:tc>
        <w:tc>
          <w:tcPr>
            <w:tcW w:w="1068"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lang w:val="zh-CN"/>
              </w:rPr>
              <w:t>江西卫生职业学院学院学院</w:t>
            </w:r>
          </w:p>
        </w:tc>
        <w:tc>
          <w:tcPr>
            <w:tcW w:w="1511"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lang w:val="zh-CN"/>
              </w:rPr>
              <w:t>江西卫生职业</w:t>
            </w:r>
          </w:p>
        </w:tc>
        <w:tc>
          <w:tcPr>
            <w:tcW w:w="1103"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中药学</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生物化学</w:t>
            </w:r>
          </w:p>
        </w:tc>
        <w:tc>
          <w:tcPr>
            <w:tcW w:w="79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8</w:t>
            </w:r>
          </w:p>
        </w:tc>
        <w:tc>
          <w:tcPr>
            <w:tcW w:w="1151"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杨莉</w:t>
            </w:r>
          </w:p>
        </w:tc>
        <w:tc>
          <w:tcPr>
            <w:tcW w:w="61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rPr>
              <w:t>47</w:t>
            </w:r>
          </w:p>
        </w:tc>
        <w:tc>
          <w:tcPr>
            <w:tcW w:w="107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副主任医师</w:t>
            </w:r>
          </w:p>
        </w:tc>
        <w:tc>
          <w:tcPr>
            <w:tcW w:w="1068"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lang w:val="zh-CN"/>
              </w:rPr>
              <w:t>江西卫生职业</w:t>
            </w:r>
          </w:p>
        </w:tc>
        <w:tc>
          <w:tcPr>
            <w:tcW w:w="1511"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lang w:val="zh-CN"/>
              </w:rPr>
              <w:t>江西卫生职业</w:t>
            </w:r>
          </w:p>
        </w:tc>
        <w:tc>
          <w:tcPr>
            <w:tcW w:w="1103"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预防医学临床</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人体解剖生理学</w:t>
            </w:r>
          </w:p>
        </w:tc>
        <w:tc>
          <w:tcPr>
            <w:tcW w:w="79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9</w:t>
            </w:r>
          </w:p>
        </w:tc>
        <w:tc>
          <w:tcPr>
            <w:tcW w:w="1151"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杨凤林</w:t>
            </w:r>
          </w:p>
        </w:tc>
        <w:tc>
          <w:tcPr>
            <w:tcW w:w="61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rPr>
              <w:t>61</w:t>
            </w:r>
          </w:p>
        </w:tc>
        <w:tc>
          <w:tcPr>
            <w:tcW w:w="107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主治中医师</w:t>
            </w:r>
          </w:p>
        </w:tc>
        <w:tc>
          <w:tcPr>
            <w:tcW w:w="1068"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lang w:val="zh-CN"/>
              </w:rPr>
              <w:t>江西卫生职业</w:t>
            </w:r>
          </w:p>
        </w:tc>
        <w:tc>
          <w:tcPr>
            <w:tcW w:w="1511"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lang w:val="zh-CN"/>
              </w:rPr>
              <w:t>江西卫生职业</w:t>
            </w:r>
          </w:p>
        </w:tc>
        <w:tc>
          <w:tcPr>
            <w:tcW w:w="1103"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中医</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微生物学与免疫学</w:t>
            </w:r>
          </w:p>
        </w:tc>
        <w:tc>
          <w:tcPr>
            <w:tcW w:w="79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10</w:t>
            </w:r>
          </w:p>
        </w:tc>
        <w:tc>
          <w:tcPr>
            <w:tcW w:w="1151"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杨海华</w:t>
            </w:r>
          </w:p>
        </w:tc>
        <w:tc>
          <w:tcPr>
            <w:tcW w:w="61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rPr>
              <w:t>男</w:t>
            </w:r>
          </w:p>
        </w:tc>
        <w:tc>
          <w:tcPr>
            <w:tcW w:w="52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rPr>
              <w:t>63</w:t>
            </w:r>
          </w:p>
        </w:tc>
        <w:tc>
          <w:tcPr>
            <w:tcW w:w="107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药剂师</w:t>
            </w:r>
          </w:p>
        </w:tc>
        <w:tc>
          <w:tcPr>
            <w:tcW w:w="1068"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lang w:val="zh-CN"/>
              </w:rPr>
              <w:t>江西卫生职业</w:t>
            </w:r>
          </w:p>
        </w:tc>
        <w:tc>
          <w:tcPr>
            <w:tcW w:w="1511"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hint="eastAsia" w:ascii="仿宋" w:hAnsi="仿宋" w:eastAsia="仿宋" w:cs="仿宋"/>
                <w:sz w:val="28"/>
                <w:szCs w:val="28"/>
                <w:lang w:val="zh-CN"/>
              </w:rPr>
              <w:t>江西卫生职业</w:t>
            </w:r>
          </w:p>
        </w:tc>
        <w:tc>
          <w:tcPr>
            <w:tcW w:w="1103"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药剂学</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药事管理与法规</w:t>
            </w:r>
          </w:p>
        </w:tc>
        <w:tc>
          <w:tcPr>
            <w:tcW w:w="79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p>
        </w:tc>
      </w:tr>
    </w:tbl>
    <w:p>
      <w:pPr>
        <w:spacing w:line="580" w:lineRule="exact"/>
        <w:rPr>
          <w:rFonts w:ascii="仿宋" w:hAnsi="仿宋" w:eastAsia="仿宋" w:cs="仿宋"/>
          <w:b/>
          <w:sz w:val="28"/>
          <w:szCs w:val="28"/>
        </w:rPr>
      </w:pP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t>6.增设专业计划开设的主要课程</w:t>
      </w:r>
    </w:p>
    <w:tbl>
      <w:tblPr>
        <w:tblStyle w:val="12"/>
        <w:tblW w:w="51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
        <w:gridCol w:w="2973"/>
        <w:gridCol w:w="1079"/>
        <w:gridCol w:w="1116"/>
        <w:gridCol w:w="1962"/>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课程名称</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课程</w:t>
            </w:r>
          </w:p>
          <w:p>
            <w:pPr>
              <w:spacing w:line="320" w:lineRule="exact"/>
              <w:jc w:val="center"/>
              <w:rPr>
                <w:rFonts w:ascii="仿宋" w:hAnsi="仿宋" w:eastAsia="仿宋" w:cs="仿宋"/>
                <w:sz w:val="28"/>
                <w:szCs w:val="28"/>
              </w:rPr>
            </w:pPr>
            <w:r>
              <w:rPr>
                <w:rFonts w:hint="eastAsia" w:ascii="仿宋" w:hAnsi="仿宋" w:eastAsia="仿宋" w:cs="仿宋"/>
                <w:sz w:val="28"/>
                <w:szCs w:val="28"/>
              </w:rPr>
              <w:t>总学时</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课程</w:t>
            </w:r>
          </w:p>
          <w:p>
            <w:pPr>
              <w:spacing w:line="320" w:lineRule="exact"/>
              <w:jc w:val="center"/>
              <w:rPr>
                <w:rFonts w:ascii="仿宋" w:hAnsi="仿宋" w:eastAsia="仿宋" w:cs="仿宋"/>
                <w:sz w:val="28"/>
                <w:szCs w:val="28"/>
              </w:rPr>
            </w:pPr>
            <w:r>
              <w:rPr>
                <w:rFonts w:hint="eastAsia" w:ascii="仿宋" w:hAnsi="仿宋" w:eastAsia="仿宋" w:cs="仿宋"/>
                <w:sz w:val="28"/>
                <w:szCs w:val="28"/>
              </w:rPr>
              <w:t>周学时</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授课教师</w:t>
            </w:r>
          </w:p>
        </w:tc>
        <w:tc>
          <w:tcPr>
            <w:tcW w:w="10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授课</w:t>
            </w:r>
          </w:p>
          <w:p>
            <w:pPr>
              <w:spacing w:line="320" w:lineRule="exact"/>
              <w:jc w:val="center"/>
              <w:rPr>
                <w:rFonts w:ascii="仿宋" w:hAnsi="仿宋" w:eastAsia="仿宋" w:cs="仿宋"/>
                <w:sz w:val="28"/>
                <w:szCs w:val="28"/>
              </w:rPr>
            </w:pPr>
            <w:r>
              <w:rPr>
                <w:rFonts w:hint="eastAsia" w:ascii="仿宋" w:hAnsi="仿宋" w:eastAsia="仿宋" w:cs="仿宋"/>
                <w:sz w:val="28"/>
                <w:szCs w:val="28"/>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w:t>
            </w:r>
          </w:p>
        </w:tc>
        <w:tc>
          <w:tcPr>
            <w:tcW w:w="29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8"/>
                <w:szCs w:val="28"/>
              </w:rPr>
            </w:pPr>
            <w:r>
              <w:rPr>
                <w:rFonts w:hint="eastAsia" w:ascii="仿宋" w:hAnsi="仿宋" w:eastAsia="仿宋" w:cs="仿宋"/>
                <w:sz w:val="28"/>
                <w:szCs w:val="28"/>
              </w:rPr>
              <w:t>病理生理学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kern w:val="0"/>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吴欢欢</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sz w:val="28"/>
                <w:szCs w:val="28"/>
              </w:rPr>
            </w:pPr>
            <w:r>
              <w:rPr>
                <w:rFonts w:ascii="仿宋" w:hAnsi="仿宋" w:eastAsia="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2</w:t>
            </w:r>
          </w:p>
        </w:tc>
        <w:tc>
          <w:tcPr>
            <w:tcW w:w="29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8"/>
                <w:szCs w:val="28"/>
              </w:rPr>
            </w:pPr>
            <w:r>
              <w:rPr>
                <w:rFonts w:hint="eastAsia" w:ascii="仿宋" w:hAnsi="仿宋" w:eastAsia="仿宋" w:cs="仿宋"/>
                <w:sz w:val="28"/>
                <w:szCs w:val="28"/>
              </w:rPr>
              <w:t>药理学（本）</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kern w:val="0"/>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曾思瑶</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sz w:val="28"/>
                <w:szCs w:val="28"/>
              </w:rPr>
            </w:pPr>
            <w:r>
              <w:rPr>
                <w:rFonts w:ascii="仿宋" w:hAnsi="仿宋" w:eastAsia="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29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8"/>
                <w:szCs w:val="28"/>
              </w:rPr>
            </w:pPr>
            <w:r>
              <w:rPr>
                <w:rFonts w:hint="eastAsia" w:ascii="仿宋" w:hAnsi="仿宋" w:eastAsia="仿宋" w:cs="仿宋"/>
                <w:sz w:val="28"/>
                <w:szCs w:val="28"/>
              </w:rPr>
              <w:t>医学统计学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sz w:val="28"/>
                <w:szCs w:val="28"/>
              </w:rPr>
              <w:t>36</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kern w:val="0"/>
                <w:sz w:val="28"/>
                <w:szCs w:val="28"/>
              </w:rPr>
              <w:t>2</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高端华</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sz w:val="28"/>
                <w:szCs w:val="28"/>
              </w:rPr>
            </w:pPr>
            <w:r>
              <w:rPr>
                <w:rFonts w:ascii="仿宋" w:hAnsi="仿宋" w:eastAsia="仿宋" w:cs="仿宋"/>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29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8"/>
                <w:szCs w:val="28"/>
              </w:rPr>
            </w:pPr>
            <w:r>
              <w:rPr>
                <w:rFonts w:hint="eastAsia" w:ascii="仿宋" w:hAnsi="仿宋" w:eastAsia="仿宋" w:cs="仿宋"/>
                <w:sz w:val="28"/>
                <w:szCs w:val="28"/>
              </w:rPr>
              <w:t>临床医学概论</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kern w:val="0"/>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李汝杰</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sz w:val="28"/>
                <w:szCs w:val="28"/>
              </w:rPr>
            </w:pPr>
            <w:r>
              <w:rPr>
                <w:rFonts w:ascii="仿宋" w:hAnsi="仿宋" w:eastAsia="仿宋" w:cs="仿宋"/>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5</w:t>
            </w:r>
          </w:p>
        </w:tc>
        <w:tc>
          <w:tcPr>
            <w:tcW w:w="29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8"/>
                <w:szCs w:val="28"/>
              </w:rPr>
            </w:pPr>
            <w:r>
              <w:rPr>
                <w:rFonts w:hint="eastAsia" w:ascii="仿宋" w:hAnsi="仿宋" w:eastAsia="仿宋" w:cs="仿宋"/>
                <w:sz w:val="28"/>
                <w:szCs w:val="28"/>
              </w:rPr>
              <w:t>调剂学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kern w:val="0"/>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8"/>
                <w:szCs w:val="28"/>
              </w:rPr>
            </w:pPr>
            <w:r>
              <w:rPr>
                <w:rFonts w:hint="eastAsia" w:ascii="仿宋" w:hAnsi="仿宋" w:eastAsia="仿宋" w:cs="仿宋"/>
                <w:sz w:val="28"/>
                <w:szCs w:val="28"/>
              </w:rPr>
              <w:t>刘小敏</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sz w:val="28"/>
                <w:szCs w:val="28"/>
              </w:rPr>
            </w:pPr>
            <w:r>
              <w:rPr>
                <w:rFonts w:ascii="仿宋" w:hAnsi="仿宋" w:eastAsia="仿宋" w:cs="仿宋"/>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6</w:t>
            </w:r>
          </w:p>
        </w:tc>
        <w:tc>
          <w:tcPr>
            <w:tcW w:w="29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8"/>
                <w:szCs w:val="28"/>
              </w:rPr>
            </w:pPr>
            <w:r>
              <w:rPr>
                <w:rFonts w:hint="eastAsia" w:ascii="仿宋" w:hAnsi="仿宋" w:eastAsia="仿宋" w:cs="仿宋"/>
                <w:sz w:val="28"/>
                <w:szCs w:val="28"/>
              </w:rPr>
              <w:t>药剂学（本）</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kern w:val="0"/>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8"/>
                <w:szCs w:val="28"/>
              </w:rPr>
            </w:pPr>
            <w:r>
              <w:rPr>
                <w:rFonts w:hint="eastAsia" w:ascii="仿宋" w:hAnsi="仿宋" w:eastAsia="仿宋" w:cs="仿宋"/>
                <w:sz w:val="28"/>
                <w:szCs w:val="28"/>
              </w:rPr>
              <w:t>陈敏</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sz w:val="28"/>
                <w:szCs w:val="28"/>
              </w:rPr>
            </w:pPr>
            <w:r>
              <w:rPr>
                <w:rFonts w:ascii="仿宋" w:hAnsi="仿宋" w:eastAsia="仿宋" w:cs="仿宋"/>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7</w:t>
            </w:r>
          </w:p>
        </w:tc>
        <w:tc>
          <w:tcPr>
            <w:tcW w:w="29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8"/>
                <w:szCs w:val="28"/>
              </w:rPr>
            </w:pPr>
            <w:r>
              <w:rPr>
                <w:rFonts w:hint="eastAsia" w:ascii="仿宋" w:hAnsi="仿宋" w:eastAsia="仿宋" w:cs="仿宋"/>
                <w:sz w:val="28"/>
                <w:szCs w:val="28"/>
              </w:rPr>
              <w:t>临床药理学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徐育新</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8</w:t>
            </w:r>
          </w:p>
        </w:tc>
        <w:tc>
          <w:tcPr>
            <w:tcW w:w="29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8"/>
                <w:szCs w:val="28"/>
              </w:rPr>
            </w:pPr>
            <w:r>
              <w:rPr>
                <w:rFonts w:hint="eastAsia" w:ascii="仿宋" w:hAnsi="仿宋" w:eastAsia="仿宋" w:cs="仿宋"/>
                <w:sz w:val="28"/>
                <w:szCs w:val="28"/>
              </w:rPr>
              <w:t>药物治疗学（本）</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杨莉</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9</w:t>
            </w:r>
          </w:p>
        </w:tc>
        <w:tc>
          <w:tcPr>
            <w:tcW w:w="29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8"/>
                <w:szCs w:val="28"/>
              </w:rPr>
            </w:pPr>
            <w:r>
              <w:rPr>
                <w:rFonts w:hint="eastAsia" w:ascii="仿宋" w:hAnsi="仿宋" w:eastAsia="仿宋" w:cs="仿宋"/>
                <w:sz w:val="28"/>
                <w:szCs w:val="28"/>
              </w:rPr>
              <w:t>药事管理与法规（本）</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36</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r>
              <w:rPr>
                <w:rFonts w:ascii="仿宋" w:hAnsi="仿宋" w:eastAsia="仿宋" w:cs="仿宋"/>
                <w:sz w:val="28"/>
                <w:szCs w:val="28"/>
              </w:rPr>
              <w:t>杨凤林</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10</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11</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12</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13</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14</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bl>
    <w:p>
      <w:pPr>
        <w:spacing w:after="156" w:afterLines="50" w:line="580" w:lineRule="exact"/>
        <w:jc w:val="center"/>
        <w:rPr>
          <w:rFonts w:ascii="仿宋" w:hAnsi="仿宋" w:eastAsia="仿宋" w:cs="仿宋"/>
          <w:bCs/>
          <w:sz w:val="28"/>
          <w:szCs w:val="28"/>
        </w:rPr>
      </w:pPr>
    </w:p>
    <w:p>
      <w:pPr>
        <w:spacing w:after="156" w:afterLines="50" w:line="580" w:lineRule="exact"/>
        <w:jc w:val="center"/>
        <w:rPr>
          <w:rFonts w:ascii="仿宋" w:hAnsi="仿宋" w:eastAsia="仿宋" w:cs="仿宋"/>
          <w:bCs/>
          <w:sz w:val="28"/>
          <w:szCs w:val="28"/>
        </w:rPr>
      </w:pPr>
    </w:p>
    <w:p>
      <w:pPr>
        <w:spacing w:after="156" w:afterLines="50" w:line="580" w:lineRule="exact"/>
        <w:jc w:val="center"/>
        <w:rPr>
          <w:rFonts w:ascii="仿宋" w:hAnsi="仿宋" w:eastAsia="仿宋" w:cs="仿宋"/>
          <w:bCs/>
          <w:sz w:val="28"/>
          <w:szCs w:val="28"/>
        </w:rPr>
      </w:pPr>
      <w:r>
        <w:rPr>
          <w:rFonts w:hint="eastAsia" w:ascii="仿宋" w:hAnsi="仿宋" w:eastAsia="仿宋" w:cs="仿宋"/>
          <w:bCs/>
          <w:sz w:val="28"/>
          <w:szCs w:val="28"/>
        </w:rPr>
        <w:t>7.增设专业基本办学条件</w:t>
      </w:r>
    </w:p>
    <w:tbl>
      <w:tblPr>
        <w:tblStyle w:val="1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317"/>
        <w:gridCol w:w="494"/>
        <w:gridCol w:w="827"/>
        <w:gridCol w:w="1119"/>
        <w:gridCol w:w="267"/>
        <w:gridCol w:w="919"/>
        <w:gridCol w:w="2286"/>
        <w:gridCol w:w="776"/>
        <w:gridCol w:w="486"/>
        <w:gridCol w:w="570"/>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专业名称</w:t>
            </w:r>
          </w:p>
        </w:tc>
        <w:tc>
          <w:tcPr>
            <w:tcW w:w="3867"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药学</w:t>
            </w:r>
          </w:p>
        </w:tc>
        <w:tc>
          <w:tcPr>
            <w:tcW w:w="19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8"/>
                <w:szCs w:val="28"/>
              </w:rPr>
            </w:pPr>
            <w:r>
              <w:rPr>
                <w:rFonts w:hint="eastAsia" w:ascii="仿宋" w:hAnsi="仿宋" w:eastAsia="仿宋" w:cs="仿宋"/>
                <w:sz w:val="28"/>
                <w:szCs w:val="28"/>
              </w:rPr>
              <w:t>开办经费</w:t>
            </w:r>
          </w:p>
        </w:tc>
        <w:tc>
          <w:tcPr>
            <w:tcW w:w="230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64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8"/>
                <w:szCs w:val="28"/>
              </w:rPr>
            </w:pPr>
            <w:r>
              <w:rPr>
                <w:rFonts w:hint="eastAsia" w:ascii="仿宋" w:hAnsi="仿宋" w:eastAsia="仿宋" w:cs="仿宋"/>
                <w:sz w:val="28"/>
                <w:szCs w:val="28"/>
              </w:rPr>
              <w:t>申报专业副高及以上职称（在岗）人数</w:t>
            </w:r>
          </w:p>
        </w:tc>
        <w:tc>
          <w:tcPr>
            <w:tcW w:w="8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其中该专业</w:t>
            </w:r>
          </w:p>
          <w:p>
            <w:pPr>
              <w:spacing w:line="320" w:lineRule="exact"/>
              <w:jc w:val="center"/>
              <w:rPr>
                <w:rFonts w:ascii="仿宋" w:hAnsi="仿宋" w:eastAsia="仿宋" w:cs="仿宋"/>
                <w:sz w:val="28"/>
                <w:szCs w:val="28"/>
              </w:rPr>
            </w:pPr>
            <w:r>
              <w:rPr>
                <w:rFonts w:hint="eastAsia" w:ascii="仿宋" w:hAnsi="仿宋" w:eastAsia="仿宋" w:cs="仿宋"/>
                <w:sz w:val="28"/>
                <w:szCs w:val="28"/>
              </w:rPr>
              <w:t>专职在岗人数</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p>
        </w:tc>
        <w:tc>
          <w:tcPr>
            <w:tcW w:w="19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其中校内</w:t>
            </w:r>
          </w:p>
          <w:p>
            <w:pPr>
              <w:spacing w:line="320" w:lineRule="exact"/>
              <w:jc w:val="center"/>
              <w:rPr>
                <w:rFonts w:ascii="仿宋" w:hAnsi="仿宋" w:eastAsia="仿宋" w:cs="仿宋"/>
                <w:sz w:val="28"/>
                <w:szCs w:val="28"/>
              </w:rPr>
            </w:pPr>
            <w:r>
              <w:rPr>
                <w:rFonts w:hint="eastAsia" w:ascii="仿宋" w:hAnsi="仿宋" w:eastAsia="仿宋" w:cs="仿宋"/>
                <w:sz w:val="28"/>
                <w:szCs w:val="28"/>
              </w:rPr>
              <w:t>兼职人数</w:t>
            </w:r>
          </w:p>
        </w:tc>
        <w:tc>
          <w:tcPr>
            <w:tcW w:w="7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8"/>
                <w:szCs w:val="28"/>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其中校外兼职人数</w:t>
            </w:r>
          </w:p>
        </w:tc>
        <w:tc>
          <w:tcPr>
            <w:tcW w:w="5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640" w:type="dxa"/>
            <w:gridSpan w:val="3"/>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可用于新专业的</w:t>
            </w:r>
          </w:p>
          <w:p>
            <w:pPr>
              <w:spacing w:line="320" w:lineRule="exact"/>
              <w:jc w:val="center"/>
              <w:rPr>
                <w:rFonts w:ascii="仿宋" w:hAnsi="仿宋" w:eastAsia="仿宋" w:cs="仿宋"/>
                <w:sz w:val="28"/>
                <w:szCs w:val="28"/>
              </w:rPr>
            </w:pPr>
            <w:r>
              <w:rPr>
                <w:rFonts w:hint="eastAsia" w:ascii="仿宋" w:hAnsi="仿宋" w:eastAsia="仿宋" w:cs="仿宋"/>
                <w:sz w:val="28"/>
                <w:szCs w:val="28"/>
              </w:rPr>
              <w:t>教学图书（万册）</w:t>
            </w:r>
          </w:p>
        </w:tc>
        <w:tc>
          <w:tcPr>
            <w:tcW w:w="844" w:type="dxa"/>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.98</w:t>
            </w:r>
          </w:p>
        </w:tc>
        <w:tc>
          <w:tcPr>
            <w:tcW w:w="1596"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可用于该专业的</w:t>
            </w:r>
          </w:p>
          <w:p>
            <w:pPr>
              <w:spacing w:line="320" w:lineRule="exact"/>
              <w:jc w:val="center"/>
              <w:rPr>
                <w:rFonts w:ascii="仿宋" w:hAnsi="仿宋" w:eastAsia="仿宋" w:cs="仿宋"/>
                <w:sz w:val="28"/>
                <w:szCs w:val="28"/>
              </w:rPr>
            </w:pPr>
            <w:r>
              <w:rPr>
                <w:rFonts w:hint="eastAsia" w:ascii="仿宋" w:hAnsi="仿宋" w:eastAsia="仿宋" w:cs="仿宋"/>
                <w:sz w:val="28"/>
                <w:szCs w:val="28"/>
              </w:rPr>
              <w:t>教学实验设备</w:t>
            </w:r>
          </w:p>
          <w:p>
            <w:pPr>
              <w:spacing w:line="320" w:lineRule="exact"/>
              <w:jc w:val="center"/>
              <w:rPr>
                <w:rFonts w:ascii="仿宋" w:hAnsi="仿宋" w:eastAsia="仿宋" w:cs="仿宋"/>
                <w:sz w:val="28"/>
                <w:szCs w:val="28"/>
              </w:rPr>
            </w:pPr>
            <w:r>
              <w:rPr>
                <w:rFonts w:hint="eastAsia" w:ascii="仿宋" w:hAnsi="仿宋" w:eastAsia="仿宋" w:cs="仿宋"/>
                <w:sz w:val="28"/>
                <w:szCs w:val="28"/>
              </w:rPr>
              <w:t>（千元以上）</w:t>
            </w:r>
          </w:p>
        </w:tc>
        <w:tc>
          <w:tcPr>
            <w:tcW w:w="2791"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492</w:t>
            </w:r>
          </w:p>
        </w:tc>
        <w:tc>
          <w:tcPr>
            <w:tcW w:w="1220"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总价值</w:t>
            </w:r>
          </w:p>
          <w:p>
            <w:pPr>
              <w:spacing w:line="320" w:lineRule="exact"/>
              <w:jc w:val="center"/>
              <w:rPr>
                <w:rFonts w:ascii="仿宋" w:hAnsi="仿宋" w:eastAsia="仿宋" w:cs="仿宋"/>
                <w:sz w:val="28"/>
                <w:szCs w:val="28"/>
              </w:rPr>
            </w:pPr>
            <w:r>
              <w:rPr>
                <w:rFonts w:hint="eastAsia" w:ascii="仿宋" w:hAnsi="仿宋" w:eastAsia="仿宋" w:cs="仿宋"/>
                <w:sz w:val="28"/>
                <w:szCs w:val="28"/>
              </w:rPr>
              <w:t>（万元）</w:t>
            </w:r>
          </w:p>
        </w:tc>
        <w:tc>
          <w:tcPr>
            <w:tcW w:w="1087"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08"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w:t>
            </w:r>
          </w:p>
          <w:p>
            <w:pPr>
              <w:spacing w:line="320" w:lineRule="exact"/>
              <w:jc w:val="center"/>
              <w:rPr>
                <w:rFonts w:ascii="仿宋" w:hAnsi="仿宋" w:eastAsia="仿宋" w:cs="仿宋"/>
                <w:sz w:val="28"/>
                <w:szCs w:val="28"/>
              </w:rPr>
            </w:pPr>
            <w:r>
              <w:rPr>
                <w:rFonts w:hint="eastAsia" w:ascii="仿宋" w:hAnsi="仿宋" w:eastAsia="仿宋" w:cs="仿宋"/>
                <w:sz w:val="28"/>
                <w:szCs w:val="28"/>
              </w:rPr>
              <w:t>号</w:t>
            </w:r>
          </w:p>
        </w:tc>
        <w:tc>
          <w:tcPr>
            <w:tcW w:w="3472" w:type="dxa"/>
            <w:gridSpan w:val="5"/>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主要教学设备名称（限20项）</w:t>
            </w:r>
          </w:p>
        </w:tc>
        <w:tc>
          <w:tcPr>
            <w:tcW w:w="2791" w:type="dxa"/>
            <w:gridSpan w:val="2"/>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型号</w:t>
            </w:r>
          </w:p>
          <w:p>
            <w:pPr>
              <w:spacing w:line="320" w:lineRule="exact"/>
              <w:jc w:val="center"/>
              <w:rPr>
                <w:rFonts w:ascii="仿宋" w:hAnsi="仿宋" w:eastAsia="仿宋" w:cs="仿宋"/>
                <w:sz w:val="28"/>
                <w:szCs w:val="28"/>
              </w:rPr>
            </w:pPr>
            <w:r>
              <w:rPr>
                <w:rFonts w:hint="eastAsia" w:ascii="仿宋" w:hAnsi="仿宋" w:eastAsia="仿宋" w:cs="仿宋"/>
                <w:sz w:val="28"/>
                <w:szCs w:val="28"/>
              </w:rPr>
              <w:t>规格</w:t>
            </w:r>
          </w:p>
        </w:tc>
        <w:tc>
          <w:tcPr>
            <w:tcW w:w="711"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台(件)</w:t>
            </w:r>
          </w:p>
        </w:tc>
        <w:tc>
          <w:tcPr>
            <w:tcW w:w="1596" w:type="dxa"/>
            <w:gridSpan w:val="3"/>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购入时间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1</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电脑</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联想、惠普、华硕</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2508</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2</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投影机</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HITACHIHCP-380</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111</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3</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摄像机</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DH-IPC-HD、HF</w:t>
            </w: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186</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4</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服务器</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LBD415W-43432、DS200-N10</w:t>
            </w:r>
          </w:p>
          <w:p>
            <w:pPr>
              <w:jc w:val="center"/>
              <w:rPr>
                <w:rFonts w:ascii="仿宋" w:hAnsi="仿宋" w:eastAsia="仿宋" w:cs="仿宋"/>
                <w:color w:val="000000"/>
                <w:sz w:val="28"/>
                <w:szCs w:val="28"/>
              </w:rPr>
            </w:pPr>
            <w:r>
              <w:rPr>
                <w:rFonts w:hint="eastAsia" w:ascii="仿宋" w:hAnsi="仿宋" w:eastAsia="仿宋" w:cs="仿宋"/>
                <w:color w:val="000000"/>
                <w:sz w:val="28"/>
                <w:szCs w:val="28"/>
              </w:rPr>
              <w:t>DS200-N10DS200-N10</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24</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5</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空调</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格力美的</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52</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6</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交换机</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H3C、锐捷</w:t>
            </w:r>
          </w:p>
          <w:p>
            <w:pPr>
              <w:jc w:val="center"/>
              <w:rPr>
                <w:rFonts w:ascii="仿宋" w:hAnsi="仿宋" w:eastAsia="仿宋" w:cs="仿宋"/>
                <w:color w:val="000000"/>
                <w:sz w:val="28"/>
                <w:szCs w:val="28"/>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169</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7</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防火墙</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锐捷</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8</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路由器</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锐捷</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57</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9</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网络设备</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锐捷</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26</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10</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云终端桌面</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LBD2012AC.VS</w:t>
            </w:r>
          </w:p>
          <w:p>
            <w:pPr>
              <w:jc w:val="center"/>
              <w:rPr>
                <w:rFonts w:ascii="仿宋" w:hAnsi="仿宋" w:eastAsia="仿宋" w:cs="仿宋"/>
                <w:color w:val="000000"/>
                <w:sz w:val="28"/>
                <w:szCs w:val="28"/>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161</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11</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功放</w:t>
            </w:r>
          </w:p>
          <w:p>
            <w:pPr>
              <w:jc w:val="center"/>
              <w:rPr>
                <w:rFonts w:ascii="仿宋" w:hAnsi="仿宋" w:eastAsia="仿宋" w:cs="仿宋"/>
                <w:color w:val="000000"/>
                <w:sz w:val="28"/>
                <w:szCs w:val="28"/>
              </w:rPr>
            </w:pP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湖山XY100\2060TJP-2700</w:t>
            </w:r>
          </w:p>
          <w:p>
            <w:pPr>
              <w:jc w:val="center"/>
              <w:rPr>
                <w:rFonts w:ascii="仿宋" w:hAnsi="仿宋" w:eastAsia="仿宋" w:cs="仿宋"/>
                <w:color w:val="000000"/>
                <w:sz w:val="28"/>
                <w:szCs w:val="28"/>
              </w:rPr>
            </w:pP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22</w:t>
            </w:r>
          </w:p>
        </w:tc>
        <w:tc>
          <w:tcPr>
            <w:tcW w:w="0" w:type="auto"/>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12</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多媒体触摸一体机</w:t>
            </w: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DONVIEW DS-65IWD-MOIP</w:t>
            </w: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26</w:t>
            </w:r>
          </w:p>
        </w:tc>
        <w:tc>
          <w:tcPr>
            <w:tcW w:w="1571" w:type="dxa"/>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13</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单反相机</w:t>
            </w:r>
          </w:p>
          <w:p>
            <w:pPr>
              <w:jc w:val="center"/>
              <w:rPr>
                <w:rFonts w:ascii="仿宋" w:hAnsi="仿宋" w:eastAsia="仿宋" w:cs="仿宋"/>
                <w:color w:val="000000"/>
                <w:sz w:val="28"/>
                <w:szCs w:val="28"/>
              </w:rPr>
            </w:pP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佳能600d</w:t>
            </w:r>
          </w:p>
          <w:p>
            <w:pPr>
              <w:jc w:val="center"/>
              <w:rPr>
                <w:rFonts w:ascii="仿宋" w:hAnsi="仿宋" w:eastAsia="仿宋" w:cs="仿宋"/>
                <w:color w:val="000000"/>
                <w:sz w:val="28"/>
                <w:szCs w:val="28"/>
              </w:rPr>
            </w:pP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17</w:t>
            </w:r>
          </w:p>
        </w:tc>
        <w:tc>
          <w:tcPr>
            <w:tcW w:w="1571" w:type="dxa"/>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14</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电子白板</w:t>
            </w:r>
          </w:p>
          <w:p>
            <w:pPr>
              <w:jc w:val="center"/>
              <w:rPr>
                <w:rFonts w:ascii="仿宋" w:hAnsi="仿宋" w:eastAsia="仿宋" w:cs="仿宋"/>
                <w:color w:val="000000"/>
                <w:sz w:val="28"/>
                <w:szCs w:val="28"/>
              </w:rPr>
            </w:pP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DB-107IWS-YO1</w:t>
            </w:r>
          </w:p>
          <w:p>
            <w:pPr>
              <w:jc w:val="center"/>
              <w:rPr>
                <w:rFonts w:ascii="仿宋" w:hAnsi="仿宋" w:eastAsia="仿宋" w:cs="仿宋"/>
                <w:color w:val="000000"/>
                <w:sz w:val="28"/>
                <w:szCs w:val="28"/>
              </w:rPr>
            </w:pP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41</w:t>
            </w:r>
          </w:p>
        </w:tc>
        <w:tc>
          <w:tcPr>
            <w:tcW w:w="1571" w:type="dxa"/>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15</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录播设备</w:t>
            </w: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大华、深圳锐取</w:t>
            </w: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c>
          <w:tcPr>
            <w:tcW w:w="1571" w:type="dxa"/>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2019</w:t>
            </w:r>
          </w:p>
        </w:tc>
      </w:tr>
    </w:tbl>
    <w:p>
      <w:pPr>
        <w:spacing w:line="580" w:lineRule="exact"/>
        <w:rPr>
          <w:rFonts w:ascii="仿宋" w:hAnsi="仿宋" w:eastAsia="仿宋" w:cs="仿宋"/>
          <w:bCs/>
          <w:sz w:val="28"/>
          <w:szCs w:val="28"/>
        </w:rPr>
      </w:pPr>
    </w:p>
    <w:sectPr>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2394"/>
    </w:sdtPr>
    <w:sdtContent>
      <w:p>
        <w:pPr>
          <w:pStyle w:val="8"/>
          <w:jc w:val="center"/>
        </w:pPr>
        <w:r>
          <w:fldChar w:fldCharType="begin"/>
        </w:r>
        <w:r>
          <w:instrText xml:space="preserve"> PAGE   \* MERGEFORMAT </w:instrText>
        </w:r>
        <w:r>
          <w:fldChar w:fldCharType="separate"/>
        </w:r>
        <w:r>
          <w:rPr>
            <w:lang w:val="zh-CN"/>
          </w:rPr>
          <w:t>44</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M2Q2NTQ1ZDc4ZGNjZDc3NzlhZTU0Y2NhNTQ0MGEifQ=="/>
  </w:docVars>
  <w:rsids>
    <w:rsidRoot w:val="006F3986"/>
    <w:rsid w:val="00010FFA"/>
    <w:rsid w:val="00034335"/>
    <w:rsid w:val="000800E7"/>
    <w:rsid w:val="00093DF0"/>
    <w:rsid w:val="00094885"/>
    <w:rsid w:val="000A5B9F"/>
    <w:rsid w:val="000C1901"/>
    <w:rsid w:val="000C4BC2"/>
    <w:rsid w:val="000E7C8F"/>
    <w:rsid w:val="0010600D"/>
    <w:rsid w:val="00111B28"/>
    <w:rsid w:val="00114AC1"/>
    <w:rsid w:val="00122AD9"/>
    <w:rsid w:val="00123D86"/>
    <w:rsid w:val="00132255"/>
    <w:rsid w:val="00133C94"/>
    <w:rsid w:val="00134DC5"/>
    <w:rsid w:val="00143FB4"/>
    <w:rsid w:val="00171313"/>
    <w:rsid w:val="00185620"/>
    <w:rsid w:val="001C6C77"/>
    <w:rsid w:val="001E0E97"/>
    <w:rsid w:val="00205ED8"/>
    <w:rsid w:val="00222C22"/>
    <w:rsid w:val="002267D5"/>
    <w:rsid w:val="00261EA7"/>
    <w:rsid w:val="00267071"/>
    <w:rsid w:val="002717A2"/>
    <w:rsid w:val="002766ED"/>
    <w:rsid w:val="002825FD"/>
    <w:rsid w:val="00286C19"/>
    <w:rsid w:val="002B0588"/>
    <w:rsid w:val="002B1F37"/>
    <w:rsid w:val="002B680C"/>
    <w:rsid w:val="002C408F"/>
    <w:rsid w:val="00303A72"/>
    <w:rsid w:val="00310254"/>
    <w:rsid w:val="00311262"/>
    <w:rsid w:val="00320333"/>
    <w:rsid w:val="00325706"/>
    <w:rsid w:val="00333985"/>
    <w:rsid w:val="0034080C"/>
    <w:rsid w:val="00350F27"/>
    <w:rsid w:val="00351658"/>
    <w:rsid w:val="00363053"/>
    <w:rsid w:val="00367A2E"/>
    <w:rsid w:val="00381242"/>
    <w:rsid w:val="00397937"/>
    <w:rsid w:val="003A667A"/>
    <w:rsid w:val="003D3653"/>
    <w:rsid w:val="003D4847"/>
    <w:rsid w:val="003D4C97"/>
    <w:rsid w:val="003E5E31"/>
    <w:rsid w:val="003E6F42"/>
    <w:rsid w:val="00405FCF"/>
    <w:rsid w:val="00426980"/>
    <w:rsid w:val="00433C51"/>
    <w:rsid w:val="00434495"/>
    <w:rsid w:val="00447E2A"/>
    <w:rsid w:val="00451AFD"/>
    <w:rsid w:val="0045504E"/>
    <w:rsid w:val="0047614D"/>
    <w:rsid w:val="00493626"/>
    <w:rsid w:val="00495BE9"/>
    <w:rsid w:val="004A677A"/>
    <w:rsid w:val="004B3C2A"/>
    <w:rsid w:val="004C28D0"/>
    <w:rsid w:val="004C3B82"/>
    <w:rsid w:val="004D05F2"/>
    <w:rsid w:val="0050453D"/>
    <w:rsid w:val="005063E1"/>
    <w:rsid w:val="00525A38"/>
    <w:rsid w:val="005515FD"/>
    <w:rsid w:val="00556EAA"/>
    <w:rsid w:val="00557F36"/>
    <w:rsid w:val="00563B06"/>
    <w:rsid w:val="00564BAC"/>
    <w:rsid w:val="005738C4"/>
    <w:rsid w:val="005859C6"/>
    <w:rsid w:val="005914D7"/>
    <w:rsid w:val="00593E2E"/>
    <w:rsid w:val="005D6E00"/>
    <w:rsid w:val="005F0371"/>
    <w:rsid w:val="006114F3"/>
    <w:rsid w:val="00617445"/>
    <w:rsid w:val="006264F4"/>
    <w:rsid w:val="0063015C"/>
    <w:rsid w:val="006324F8"/>
    <w:rsid w:val="006644D7"/>
    <w:rsid w:val="00671530"/>
    <w:rsid w:val="00681F47"/>
    <w:rsid w:val="0068409F"/>
    <w:rsid w:val="006A1739"/>
    <w:rsid w:val="006B48B1"/>
    <w:rsid w:val="006C6A67"/>
    <w:rsid w:val="006D4395"/>
    <w:rsid w:val="006F0C0E"/>
    <w:rsid w:val="006F3986"/>
    <w:rsid w:val="00702795"/>
    <w:rsid w:val="00705DA8"/>
    <w:rsid w:val="00724D99"/>
    <w:rsid w:val="00741F44"/>
    <w:rsid w:val="00747B7D"/>
    <w:rsid w:val="00747CDA"/>
    <w:rsid w:val="0075180B"/>
    <w:rsid w:val="0076171E"/>
    <w:rsid w:val="0077054F"/>
    <w:rsid w:val="00774D19"/>
    <w:rsid w:val="0078288C"/>
    <w:rsid w:val="007A1F7E"/>
    <w:rsid w:val="007A3E34"/>
    <w:rsid w:val="007A56A2"/>
    <w:rsid w:val="007D07F5"/>
    <w:rsid w:val="007F4A87"/>
    <w:rsid w:val="00800444"/>
    <w:rsid w:val="0080082A"/>
    <w:rsid w:val="00800F71"/>
    <w:rsid w:val="0081557B"/>
    <w:rsid w:val="00827066"/>
    <w:rsid w:val="00844EB6"/>
    <w:rsid w:val="00854102"/>
    <w:rsid w:val="00856A88"/>
    <w:rsid w:val="008754BA"/>
    <w:rsid w:val="00896668"/>
    <w:rsid w:val="008A5EDD"/>
    <w:rsid w:val="008C13A0"/>
    <w:rsid w:val="008E04F2"/>
    <w:rsid w:val="008E5FE8"/>
    <w:rsid w:val="008F0570"/>
    <w:rsid w:val="008F310D"/>
    <w:rsid w:val="00900713"/>
    <w:rsid w:val="00904DBC"/>
    <w:rsid w:val="00905711"/>
    <w:rsid w:val="00907719"/>
    <w:rsid w:val="00911588"/>
    <w:rsid w:val="00920110"/>
    <w:rsid w:val="00926266"/>
    <w:rsid w:val="00935BE1"/>
    <w:rsid w:val="0094036F"/>
    <w:rsid w:val="00945C98"/>
    <w:rsid w:val="00946B5E"/>
    <w:rsid w:val="009574D8"/>
    <w:rsid w:val="00976E05"/>
    <w:rsid w:val="00980420"/>
    <w:rsid w:val="00982F03"/>
    <w:rsid w:val="0099452D"/>
    <w:rsid w:val="00994F84"/>
    <w:rsid w:val="009A5FA4"/>
    <w:rsid w:val="009E102B"/>
    <w:rsid w:val="009E1451"/>
    <w:rsid w:val="009E35B1"/>
    <w:rsid w:val="009E3AFA"/>
    <w:rsid w:val="009F07DC"/>
    <w:rsid w:val="00A174B0"/>
    <w:rsid w:val="00A347AB"/>
    <w:rsid w:val="00A367B2"/>
    <w:rsid w:val="00A564C8"/>
    <w:rsid w:val="00A902AF"/>
    <w:rsid w:val="00AA1350"/>
    <w:rsid w:val="00AC28AC"/>
    <w:rsid w:val="00AF04C0"/>
    <w:rsid w:val="00B11F9D"/>
    <w:rsid w:val="00B207CF"/>
    <w:rsid w:val="00B34C96"/>
    <w:rsid w:val="00B34CEF"/>
    <w:rsid w:val="00B454AC"/>
    <w:rsid w:val="00BA244F"/>
    <w:rsid w:val="00BB4116"/>
    <w:rsid w:val="00BC4F94"/>
    <w:rsid w:val="00BE404D"/>
    <w:rsid w:val="00BF67A3"/>
    <w:rsid w:val="00C0159F"/>
    <w:rsid w:val="00C47C4C"/>
    <w:rsid w:val="00C57024"/>
    <w:rsid w:val="00C6753C"/>
    <w:rsid w:val="00C921C5"/>
    <w:rsid w:val="00CA5CEF"/>
    <w:rsid w:val="00CB5D91"/>
    <w:rsid w:val="00D03E88"/>
    <w:rsid w:val="00D17A1F"/>
    <w:rsid w:val="00D32183"/>
    <w:rsid w:val="00D57E51"/>
    <w:rsid w:val="00D84B14"/>
    <w:rsid w:val="00D873FD"/>
    <w:rsid w:val="00DA4E45"/>
    <w:rsid w:val="00DB355C"/>
    <w:rsid w:val="00DB6C8D"/>
    <w:rsid w:val="00DD747E"/>
    <w:rsid w:val="00DE7748"/>
    <w:rsid w:val="00DF2DDD"/>
    <w:rsid w:val="00DF77CD"/>
    <w:rsid w:val="00E001E3"/>
    <w:rsid w:val="00E01768"/>
    <w:rsid w:val="00E11982"/>
    <w:rsid w:val="00E21B5A"/>
    <w:rsid w:val="00E24187"/>
    <w:rsid w:val="00E309A4"/>
    <w:rsid w:val="00E418CE"/>
    <w:rsid w:val="00E4251D"/>
    <w:rsid w:val="00E56456"/>
    <w:rsid w:val="00E6138D"/>
    <w:rsid w:val="00E65C3D"/>
    <w:rsid w:val="00E77AB7"/>
    <w:rsid w:val="00E87323"/>
    <w:rsid w:val="00E937E1"/>
    <w:rsid w:val="00ED7F94"/>
    <w:rsid w:val="00EE0DF4"/>
    <w:rsid w:val="00EE0E59"/>
    <w:rsid w:val="00EE381F"/>
    <w:rsid w:val="00F111EB"/>
    <w:rsid w:val="00F21DAA"/>
    <w:rsid w:val="00F45AF9"/>
    <w:rsid w:val="00F8416C"/>
    <w:rsid w:val="00F92BBE"/>
    <w:rsid w:val="00F93750"/>
    <w:rsid w:val="00FA0126"/>
    <w:rsid w:val="00FA0BD0"/>
    <w:rsid w:val="00FA2836"/>
    <w:rsid w:val="00FB0130"/>
    <w:rsid w:val="00FB28CC"/>
    <w:rsid w:val="00FB618C"/>
    <w:rsid w:val="00FC489C"/>
    <w:rsid w:val="00FD1B2E"/>
    <w:rsid w:val="00FD7C1B"/>
    <w:rsid w:val="00FE18F6"/>
    <w:rsid w:val="030470E9"/>
    <w:rsid w:val="0425637F"/>
    <w:rsid w:val="043E4C3E"/>
    <w:rsid w:val="056E0455"/>
    <w:rsid w:val="0848108E"/>
    <w:rsid w:val="15270EF3"/>
    <w:rsid w:val="166666DE"/>
    <w:rsid w:val="167D36BA"/>
    <w:rsid w:val="17C7617E"/>
    <w:rsid w:val="1A4247DD"/>
    <w:rsid w:val="1AE94FB9"/>
    <w:rsid w:val="1E8470A3"/>
    <w:rsid w:val="1ED17C3A"/>
    <w:rsid w:val="241908D2"/>
    <w:rsid w:val="262B4373"/>
    <w:rsid w:val="2ED30516"/>
    <w:rsid w:val="2F1859C4"/>
    <w:rsid w:val="38DF33DD"/>
    <w:rsid w:val="3C384612"/>
    <w:rsid w:val="3D10775F"/>
    <w:rsid w:val="405D4E8D"/>
    <w:rsid w:val="414C6AFD"/>
    <w:rsid w:val="48B30DD4"/>
    <w:rsid w:val="4B2D6861"/>
    <w:rsid w:val="4C2555A1"/>
    <w:rsid w:val="50276545"/>
    <w:rsid w:val="545B1035"/>
    <w:rsid w:val="574760CB"/>
    <w:rsid w:val="58A232C4"/>
    <w:rsid w:val="5B931FAF"/>
    <w:rsid w:val="5F5339C6"/>
    <w:rsid w:val="61247E0A"/>
    <w:rsid w:val="62285994"/>
    <w:rsid w:val="6C64616A"/>
    <w:rsid w:val="72A04D56"/>
    <w:rsid w:val="73F6192F"/>
    <w:rsid w:val="74C1398E"/>
    <w:rsid w:val="778A188B"/>
    <w:rsid w:val="7B6E21C1"/>
    <w:rsid w:val="7D62700E"/>
    <w:rsid w:val="7DD31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Lines="50" w:afterLines="50"/>
      <w:ind w:firstLine="200" w:firstLineChars="200"/>
      <w:contextualSpacing/>
      <w:outlineLvl w:val="0"/>
    </w:pPr>
    <w:rPr>
      <w:rFonts w:ascii="Times New Roman" w:hAnsi="Times New Roman" w:eastAsia="黑体"/>
      <w:b/>
      <w:bCs/>
      <w:color w:val="000000"/>
      <w:sz w:val="24"/>
      <w:szCs w:val="21"/>
    </w:rPr>
  </w:style>
  <w:style w:type="paragraph" w:styleId="4">
    <w:name w:val="heading 2"/>
    <w:basedOn w:val="1"/>
    <w:next w:val="1"/>
    <w:unhideWhenUsed/>
    <w:qFormat/>
    <w:uiPriority w:val="9"/>
    <w:pPr>
      <w:keepNext/>
      <w:keepLines/>
      <w:spacing w:before="260" w:after="260" w:line="416" w:lineRule="auto"/>
      <w:outlineLvl w:val="1"/>
    </w:pPr>
    <w:rPr>
      <w:rFonts w:eastAsia="仿宋" w:asciiTheme="majorHAnsi" w:hAnsiTheme="majorHAnsi"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2"/>
      <w:szCs w:val="32"/>
    </w:rPr>
  </w:style>
  <w:style w:type="paragraph" w:styleId="5">
    <w:name w:val="Plain Text"/>
    <w:basedOn w:val="1"/>
    <w:link w:val="21"/>
    <w:qFormat/>
    <w:uiPriority w:val="99"/>
    <w:rPr>
      <w:rFonts w:ascii="宋体" w:hAnsi="Courier New"/>
      <w:kern w:val="0"/>
      <w:sz w:val="20"/>
      <w:szCs w:val="21"/>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10"/>
    <w:pPr>
      <w:spacing w:line="520" w:lineRule="exact"/>
      <w:jc w:val="center"/>
    </w:pPr>
    <w:rPr>
      <w:rFonts w:ascii="黑体" w:hAnsi="宋体" w:eastAsia="黑体"/>
      <w:sz w:val="32"/>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themeColor="hyperlink"/>
      <w:u w:val="single"/>
      <w14:textFill>
        <w14:solidFill>
          <w14:schemeClr w14:val="hlink"/>
        </w14:solidFill>
      </w14:textFill>
    </w:rPr>
  </w:style>
  <w:style w:type="character" w:customStyle="1" w:styleId="16">
    <w:name w:val="批注框文本 Char"/>
    <w:basedOn w:val="14"/>
    <w:link w:val="7"/>
    <w:semiHidden/>
    <w:qFormat/>
    <w:uiPriority w:val="99"/>
    <w:rPr>
      <w:rFonts w:ascii="Calibri" w:hAnsi="Calibri" w:eastAsia="宋体" w:cs="Times New Roman"/>
      <w:sz w:val="18"/>
      <w:szCs w:val="18"/>
    </w:rPr>
  </w:style>
  <w:style w:type="character" w:customStyle="1" w:styleId="17">
    <w:name w:val="页眉 Char"/>
    <w:basedOn w:val="14"/>
    <w:link w:val="9"/>
    <w:qFormat/>
    <w:uiPriority w:val="99"/>
    <w:rPr>
      <w:rFonts w:ascii="Calibri" w:hAnsi="Calibri" w:eastAsia="宋体" w:cs="Times New Roman"/>
      <w:sz w:val="18"/>
      <w:szCs w:val="18"/>
    </w:rPr>
  </w:style>
  <w:style w:type="character" w:customStyle="1" w:styleId="18">
    <w:name w:val="页脚 Char"/>
    <w:basedOn w:val="14"/>
    <w:link w:val="8"/>
    <w:qFormat/>
    <w:uiPriority w:val="99"/>
    <w:rPr>
      <w:rFonts w:ascii="Calibri" w:hAnsi="Calibri"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日期 Char"/>
    <w:basedOn w:val="14"/>
    <w:link w:val="6"/>
    <w:semiHidden/>
    <w:qFormat/>
    <w:uiPriority w:val="99"/>
    <w:rPr>
      <w:rFonts w:ascii="Calibri" w:hAnsi="Calibri" w:eastAsia="宋体" w:cs="Times New Roman"/>
    </w:rPr>
  </w:style>
  <w:style w:type="character" w:customStyle="1" w:styleId="21">
    <w:name w:val="纯文本 Char"/>
    <w:basedOn w:val="14"/>
    <w:link w:val="5"/>
    <w:qFormat/>
    <w:uiPriority w:val="99"/>
    <w:rPr>
      <w:rFonts w:ascii="宋体" w:hAnsi="Courier New"/>
      <w:szCs w:val="21"/>
    </w:rPr>
  </w:style>
  <w:style w:type="character" w:customStyle="1" w:styleId="22">
    <w:name w:val="fwzx41"/>
    <w:basedOn w:val="14"/>
    <w:qFormat/>
    <w:uiPriority w:val="0"/>
  </w:style>
  <w:style w:type="character" w:customStyle="1" w:styleId="23">
    <w:name w:val="nz2k8oy9d"/>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18656</Words>
  <Characters>19686</Characters>
  <Lines>150</Lines>
  <Paragraphs>42</Paragraphs>
  <TotalTime>0</TotalTime>
  <ScaleCrop>false</ScaleCrop>
  <LinksUpToDate>false</LinksUpToDate>
  <CharactersWithSpaces>19914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2017-01-09T07:03:00Z</dcterms:created>
  <dc:creator>林燕</dc:creator>
  <cp:lastModifiedBy>haoyu</cp:lastModifiedBy>
  <cp:lastPrinted>2017-01-06T07:12:00Z</cp:lastPrinted>
  <dcterms:modified xsi:type="dcterms:W3CDTF">2023-02-18T07:17:06Z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CBC42359907F42D5BC043B1C2AD7A03D</vt:lpwstr>
  </property>
</Properties>
</file>