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关于2023年省社科基金项目实行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限额申报的说明</w:t>
      </w:r>
    </w:p>
    <w:p>
      <w:pPr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为提高申报质量，减少同类项目申报，经研究决定，2023年继续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参照国家社科基金年度项目申报办法，实行限额申报（限额1500项左右），限额指标另行下达至各单位,限额指标制定说明如下: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一、基本原则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1.质量至上。主要根据各单位申报数及立项情况制定限额指标数，对申报质量不高、立项率低的单位，从严控制申报数量。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2.奖惩结合。对于2022年有国家社科基金项目撤项、中止及省社科基金项目未在清理期限内完成的单位，减少指标数；对于2022年国家社科基金项目及省社科基金项目结项优秀率高的单位，增加指标数。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3.统筹兼顾。适当考虑单位、地区的平衡，对于平均申报数在5项以下的单位和首次申报的单位，以及其他未另行下达限额指标的单位，一律限额5项。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二、制定方法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1.计算公式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各单位限额指标=平均申报数*限额指标系数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限额指标系数=1500/总计平均申报数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(2021年至2022年我省社科基金项目总计平均申报数为1511，故限额指标系数为0.99）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平均立项率=平均立项数/平均申报数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(2021年至2022年我省社科基金项目总计平均立项数为442，故平均立项率为29.2%）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因各单位立项率相差较大，故各单位限额指标系数应有差别。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①立项率&gt;29.2%，限额指标系数提高至1.2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②10%</w:t>
      </w:r>
      <w:r>
        <w:rPr>
          <w:rFonts w:hint="eastAsia" w:ascii="宋体" w:hAnsi="宋体" w:cs="宋体"/>
          <w:sz w:val="32"/>
          <w:szCs w:val="32"/>
        </w:rPr>
        <w:t>≦</w:t>
      </w:r>
      <w:r>
        <w:rPr>
          <w:rFonts w:hint="eastAsia" w:ascii="仿宋_GB2312" w:hAnsi="仿宋_GB2312" w:eastAsia="仿宋_GB2312" w:cs="仿宋_GB2312"/>
          <w:sz w:val="32"/>
          <w:szCs w:val="32"/>
        </w:rPr>
        <w:t>立项率</w:t>
      </w:r>
      <w:r>
        <w:rPr>
          <w:rFonts w:hint="eastAsia" w:ascii="宋体" w:hAnsi="宋体" w:cs="宋体"/>
          <w:sz w:val="32"/>
          <w:szCs w:val="32"/>
        </w:rPr>
        <w:t>≦</w:t>
      </w:r>
      <w:r>
        <w:rPr>
          <w:rFonts w:hint="eastAsia" w:ascii="仿宋_GB2312" w:hAnsi="仿宋_GB2312" w:eastAsia="仿宋_GB2312" w:cs="仿宋_GB2312"/>
          <w:sz w:val="32"/>
          <w:szCs w:val="32"/>
        </w:rPr>
        <w:t>29.2%，限额指标系数降至0.8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③5%</w:t>
      </w:r>
      <w:r>
        <w:rPr>
          <w:rFonts w:hint="eastAsia" w:ascii="宋体" w:hAnsi="宋体" w:cs="宋体"/>
          <w:sz w:val="32"/>
          <w:szCs w:val="32"/>
        </w:rPr>
        <w:t>≦</w:t>
      </w:r>
      <w:r>
        <w:rPr>
          <w:rFonts w:hint="eastAsia" w:ascii="仿宋_GB2312" w:hAnsi="仿宋_GB2312" w:eastAsia="仿宋_GB2312" w:cs="仿宋_GB2312"/>
          <w:sz w:val="32"/>
          <w:szCs w:val="32"/>
        </w:rPr>
        <w:t>立项率&lt;10%,限额指标系数降至0.7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④立项率&lt;5%，限额指标系数降至0.6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3.奖惩措施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根据最新规定，2022年国家社科基金、省社科基金清理2017年立项未完成的项目，根据各单位项目未完成情况及去年获得结项优秀情况制定奖惩标准。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①针对国家社科基金项目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结项优秀：指标增加8个/项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中止或撤项：指标减少8个/项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②针对省社科基金项目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结项优秀：指标增加4个/项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逾期未完成：指标减少4个/项</w:t>
      </w:r>
    </w:p>
    <w:p>
      <w:pPr>
        <w:widowControl/>
        <w:shd w:val="clear" w:color="auto" w:fill="FFFFFF"/>
        <w:spacing w:line="540" w:lineRule="exact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MGNiMmEwZWY0OGM2NTM3MGZlZmVlZTNiY2U3ODEifQ=="/>
  </w:docVars>
  <w:rsids>
    <w:rsidRoot w:val="4C061069"/>
    <w:rsid w:val="0E292905"/>
    <w:rsid w:val="4C06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768</Characters>
  <Lines>0</Lines>
  <Paragraphs>0</Paragraphs>
  <TotalTime>0</TotalTime>
  <ScaleCrop>false</ScaleCrop>
  <LinksUpToDate>false</LinksUpToDate>
  <CharactersWithSpaces>768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2023-03-01T03:08:00Z</dcterms:created>
  <dc:creator>悠悠我欣</dc:creator>
  <cp:lastModifiedBy>东方白</cp:lastModifiedBy>
  <dcterms:modified xsi:type="dcterms:W3CDTF">2023-03-02T06:39:45Z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1912A3344CEC4850B7E8DF9E28ED58FD</vt:lpwstr>
  </property>
</Properties>
</file>